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C4" w:rsidRDefault="00E14DC4" w:rsidP="00E14DC4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14DC4" w:rsidRDefault="00E14DC4" w:rsidP="00E14DC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14DC4" w:rsidRDefault="00E14DC4" w:rsidP="00E14DC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14DC4" w:rsidRDefault="00E14DC4" w:rsidP="00E14DC4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14DC4" w:rsidTr="00BE7B3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C4" w:rsidRDefault="00E14DC4" w:rsidP="001545F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C4" w:rsidRPr="003F1C2E" w:rsidRDefault="00912862" w:rsidP="001545F6">
            <w:pPr>
              <w:pStyle w:val="stbilgi"/>
              <w:rPr>
                <w:b/>
              </w:rPr>
            </w:pPr>
            <w:r w:rsidRPr="003F1C2E">
              <w:rPr>
                <w:b/>
              </w:rPr>
              <w:t>Hilmi ŞEN</w:t>
            </w:r>
          </w:p>
        </w:tc>
      </w:tr>
      <w:tr w:rsidR="00E14DC4" w:rsidTr="00BE7B3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C4" w:rsidRDefault="00E14DC4" w:rsidP="000E0E5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</w:t>
            </w:r>
            <w:r w:rsidR="000E0E5B">
              <w:rPr>
                <w:b/>
                <w:sz w:val="22"/>
                <w:szCs w:val="22"/>
              </w:rPr>
              <w:t xml:space="preserve">AN </w:t>
            </w:r>
            <w:r>
              <w:rPr>
                <w:b/>
                <w:sz w:val="22"/>
                <w:szCs w:val="22"/>
              </w:rPr>
              <w:t>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4" w:rsidRPr="003F1C2E" w:rsidRDefault="003F1C2E" w:rsidP="001545F6">
            <w:pPr>
              <w:pStyle w:val="stbilgi"/>
              <w:rPr>
                <w:b/>
              </w:rPr>
            </w:pPr>
            <w:r w:rsidRPr="003F1C2E">
              <w:rPr>
                <w:b/>
              </w:rPr>
              <w:t>Şükrü EVCİ</w:t>
            </w:r>
          </w:p>
        </w:tc>
      </w:tr>
      <w:tr w:rsidR="00E14DC4" w:rsidTr="00BE7B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B" w:rsidRDefault="00E14DC4" w:rsidP="001545F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14DC4" w:rsidRDefault="00E14DC4" w:rsidP="001545F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E" w:rsidRPr="003F1C2E" w:rsidRDefault="003F1C2E" w:rsidP="001545F6">
            <w:pPr>
              <w:tabs>
                <w:tab w:val="left" w:pos="3285"/>
              </w:tabs>
              <w:rPr>
                <w:b/>
              </w:rPr>
            </w:pPr>
            <w:r w:rsidRPr="003F1C2E">
              <w:rPr>
                <w:b/>
              </w:rPr>
              <w:t>Alper ÖZGÜ</w:t>
            </w:r>
            <w:r w:rsidR="009115AE" w:rsidRPr="003F1C2E">
              <w:rPr>
                <w:b/>
              </w:rPr>
              <w:t xml:space="preserve">, </w:t>
            </w:r>
            <w:r w:rsidRPr="003F1C2E">
              <w:rPr>
                <w:b/>
              </w:rPr>
              <w:t>Hamza KUTLUCA</w:t>
            </w:r>
            <w:r w:rsidR="009115AE" w:rsidRPr="003F1C2E">
              <w:rPr>
                <w:b/>
              </w:rPr>
              <w:t xml:space="preserve">, </w:t>
            </w:r>
            <w:r>
              <w:rPr>
                <w:b/>
              </w:rPr>
              <w:t>Hüseyin ULUYÜREK</w:t>
            </w:r>
            <w:r w:rsidR="009115AE" w:rsidRPr="003F1C2E">
              <w:rPr>
                <w:b/>
              </w:rPr>
              <w:t xml:space="preserve">, </w:t>
            </w:r>
          </w:p>
          <w:p w:rsidR="00E14DC4" w:rsidRPr="003F1C2E" w:rsidRDefault="003F1C2E" w:rsidP="003F1C2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Muhsin YAKUT</w:t>
            </w:r>
            <w:r w:rsidR="009115AE" w:rsidRPr="003F1C2E">
              <w:rPr>
                <w:b/>
              </w:rPr>
              <w:t xml:space="preserve">, </w:t>
            </w:r>
            <w:r>
              <w:rPr>
                <w:b/>
              </w:rPr>
              <w:t>İlyas CANÖZ</w:t>
            </w:r>
          </w:p>
        </w:tc>
      </w:tr>
      <w:tr w:rsidR="00E14DC4" w:rsidTr="00BE7B3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C4" w:rsidRDefault="00E14DC4" w:rsidP="001545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C4" w:rsidRPr="003F1C2E" w:rsidRDefault="00ED6D2E" w:rsidP="003F1C2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Ödenek aktarılması</w:t>
            </w:r>
          </w:p>
        </w:tc>
      </w:tr>
      <w:tr w:rsidR="00E14DC4" w:rsidTr="00BE7B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C4" w:rsidRDefault="00E14DC4" w:rsidP="006C13D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4" w:rsidRPr="003F1C2E" w:rsidRDefault="00ED6D2E" w:rsidP="00ED6D2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</w:t>
            </w:r>
            <w:r w:rsidR="00912862" w:rsidRPr="003F1C2E">
              <w:rPr>
                <w:b/>
              </w:rPr>
              <w:t xml:space="preserve"> </w:t>
            </w:r>
            <w:r>
              <w:rPr>
                <w:b/>
              </w:rPr>
              <w:t xml:space="preserve">Aralık </w:t>
            </w:r>
            <w:r w:rsidR="00912862" w:rsidRPr="003F1C2E">
              <w:rPr>
                <w:b/>
              </w:rPr>
              <w:t>202</w:t>
            </w:r>
            <w:r w:rsidR="003F1C2E">
              <w:rPr>
                <w:b/>
              </w:rPr>
              <w:t>3</w:t>
            </w:r>
          </w:p>
        </w:tc>
      </w:tr>
    </w:tbl>
    <w:p w:rsidR="00E14DC4" w:rsidRDefault="00E14DC4" w:rsidP="00E14DC4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E14DC4" w:rsidTr="00BE7B3F">
        <w:trPr>
          <w:trHeight w:val="883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4" w:rsidRDefault="00E14DC4" w:rsidP="001545F6">
            <w:pPr>
              <w:pStyle w:val="ListeParagraf"/>
              <w:ind w:left="540"/>
              <w:jc w:val="both"/>
            </w:pPr>
          </w:p>
          <w:p w:rsidR="006C13D6" w:rsidRDefault="00E14DC4" w:rsidP="006C13D6">
            <w:pPr>
              <w:pStyle w:val="Stil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proofErr w:type="gramStart"/>
            <w:r w:rsidR="00ED6D2E">
              <w:rPr>
                <w:rFonts w:ascii="Times New Roman" w:hAnsi="Times New Roman" w:cs="Times New Roman"/>
              </w:rPr>
              <w:t xml:space="preserve">İl Özel İdaresi Mali Hizmetler Müdürlüğü </w:t>
            </w:r>
            <w:r w:rsidR="00ED6D2E" w:rsidRPr="00ED6D2E">
              <w:rPr>
                <w:rFonts w:ascii="Times New Roman" w:hAnsi="Times New Roman" w:cs="Times New Roman"/>
              </w:rPr>
              <w:t>29.11.2023 tarih ve 26531 sayılı yazılarıyla;</w:t>
            </w:r>
            <w:r w:rsidR="00ED6D2E">
              <w:rPr>
                <w:rFonts w:ascii="Times New Roman" w:hAnsi="Times New Roman" w:cs="Times New Roman"/>
              </w:rPr>
              <w:t xml:space="preserve"> </w:t>
            </w:r>
            <w:r w:rsidR="00ED6D2E" w:rsidRPr="00ED6D2E">
              <w:rPr>
                <w:rFonts w:ascii="Times New Roman" w:hAnsi="Times New Roman" w:cs="Times New Roman"/>
              </w:rPr>
              <w:t xml:space="preserve">İl Özel İdaresine ait </w:t>
            </w:r>
            <w:proofErr w:type="spellStart"/>
            <w:r w:rsidR="00ED6D2E" w:rsidRPr="00ED6D2E">
              <w:rPr>
                <w:rFonts w:ascii="Times New Roman" w:hAnsi="Times New Roman" w:cs="Times New Roman"/>
              </w:rPr>
              <w:t>Çeşnigir</w:t>
            </w:r>
            <w:proofErr w:type="spellEnd"/>
            <w:r w:rsidR="00ED6D2E" w:rsidRPr="00ED6D2E">
              <w:rPr>
                <w:rFonts w:ascii="Times New Roman" w:hAnsi="Times New Roman" w:cs="Times New Roman"/>
              </w:rPr>
              <w:t xml:space="preserve"> Yöresel Ürünler Pazarlama ve Personel Hizmetleri Anonim Şirketi bünyesinde çalışan personelin toplu sözleşmeden doğan farkları ve artışlar nedeniyle, İl Özel İdar</w:t>
            </w:r>
            <w:bookmarkStart w:id="0" w:name="_GoBack"/>
            <w:bookmarkEnd w:id="0"/>
            <w:r w:rsidR="00ED6D2E" w:rsidRPr="00ED6D2E">
              <w:rPr>
                <w:rFonts w:ascii="Times New Roman" w:hAnsi="Times New Roman" w:cs="Times New Roman"/>
              </w:rPr>
              <w:t xml:space="preserve">esi Bütçesinde ödenek üstü harcamaya mahal verilmemesi için ödenek </w:t>
            </w:r>
            <w:r w:rsidR="00ED6D2E">
              <w:rPr>
                <w:rFonts w:ascii="Times New Roman" w:hAnsi="Times New Roman" w:cs="Times New Roman"/>
              </w:rPr>
              <w:t>aktarılması hususunun</w:t>
            </w:r>
            <w:r w:rsidR="006C13D6">
              <w:rPr>
                <w:rFonts w:ascii="Times New Roman" w:hAnsi="Times New Roman" w:cs="Times New Roman"/>
              </w:rPr>
              <w:t>, İl Genel Meclisi</w:t>
            </w:r>
            <w:r w:rsidR="00ED6D2E">
              <w:rPr>
                <w:rFonts w:ascii="Times New Roman" w:hAnsi="Times New Roman" w:cs="Times New Roman"/>
              </w:rPr>
              <w:t xml:space="preserve">nce değerlendirilmesi istenmiştir. </w:t>
            </w:r>
            <w:proofErr w:type="gramEnd"/>
            <w:r w:rsidR="00ED6D2E">
              <w:rPr>
                <w:rFonts w:ascii="Times New Roman" w:hAnsi="Times New Roman" w:cs="Times New Roman"/>
              </w:rPr>
              <w:t>Konu,</w:t>
            </w:r>
            <w:r w:rsidR="006C13D6">
              <w:rPr>
                <w:rFonts w:ascii="Times New Roman" w:hAnsi="Times New Roman" w:cs="Times New Roman"/>
              </w:rPr>
              <w:t xml:space="preserve"> </w:t>
            </w:r>
            <w:r w:rsidR="00ED6D2E">
              <w:rPr>
                <w:rFonts w:ascii="Times New Roman" w:hAnsi="Times New Roman" w:cs="Times New Roman"/>
              </w:rPr>
              <w:t xml:space="preserve">Komisyonumuza havale edilmiş ve </w:t>
            </w:r>
            <w:r w:rsidR="006C13D6">
              <w:rPr>
                <w:rFonts w:ascii="Times New Roman" w:hAnsi="Times New Roman" w:cs="Times New Roman"/>
              </w:rPr>
              <w:t xml:space="preserve">Komisyonumuz </w:t>
            </w:r>
            <w:r w:rsidR="00ED6D2E">
              <w:rPr>
                <w:rFonts w:ascii="Times New Roman" w:hAnsi="Times New Roman" w:cs="Times New Roman"/>
              </w:rPr>
              <w:t>5-6-7</w:t>
            </w:r>
            <w:r w:rsidR="00EE3EF8" w:rsidRPr="00663E42">
              <w:rPr>
                <w:rFonts w:ascii="Times New Roman" w:hAnsi="Times New Roman" w:cs="Times New Roman"/>
              </w:rPr>
              <w:t xml:space="preserve"> </w:t>
            </w:r>
            <w:r w:rsidR="00ED6D2E">
              <w:rPr>
                <w:rFonts w:ascii="Times New Roman" w:hAnsi="Times New Roman" w:cs="Times New Roman"/>
              </w:rPr>
              <w:t xml:space="preserve">Aralık </w:t>
            </w:r>
            <w:r w:rsidR="00EE3EF8">
              <w:rPr>
                <w:rFonts w:ascii="Times New Roman" w:hAnsi="Times New Roman" w:cs="Times New Roman"/>
              </w:rPr>
              <w:t>202</w:t>
            </w:r>
            <w:r w:rsidR="003F1C2E">
              <w:rPr>
                <w:rFonts w:ascii="Times New Roman" w:hAnsi="Times New Roman" w:cs="Times New Roman"/>
              </w:rPr>
              <w:t>3</w:t>
            </w:r>
            <w:r w:rsidR="00EE3EF8" w:rsidRPr="00663E42">
              <w:rPr>
                <w:rFonts w:ascii="Times New Roman" w:hAnsi="Times New Roman" w:cs="Times New Roman"/>
              </w:rPr>
              <w:t xml:space="preserve"> </w:t>
            </w:r>
            <w:r w:rsidR="006C13D6">
              <w:rPr>
                <w:rFonts w:ascii="Times New Roman" w:hAnsi="Times New Roman" w:cs="Times New Roman"/>
              </w:rPr>
              <w:t>tarihlerinde toplanarak, çalışmasını tamamlamış</w:t>
            </w:r>
            <w:r w:rsidR="00ED6D2E">
              <w:rPr>
                <w:rFonts w:ascii="Times New Roman" w:hAnsi="Times New Roman" w:cs="Times New Roman"/>
              </w:rPr>
              <w:t xml:space="preserve">tır. Yapılan </w:t>
            </w:r>
            <w:r w:rsidR="000E0E5B">
              <w:rPr>
                <w:rFonts w:ascii="Times New Roman" w:hAnsi="Times New Roman" w:cs="Times New Roman"/>
              </w:rPr>
              <w:t>değerlendirmelerde</w:t>
            </w:r>
            <w:r w:rsidR="00ED6D2E">
              <w:rPr>
                <w:rFonts w:ascii="Times New Roman" w:hAnsi="Times New Roman" w:cs="Times New Roman"/>
              </w:rPr>
              <w:t>;</w:t>
            </w:r>
          </w:p>
          <w:p w:rsidR="00ED6D2E" w:rsidRDefault="004B2360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ED6D2E" w:rsidRDefault="00ED6D2E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İl Özel İdaresine ait </w:t>
            </w:r>
            <w:proofErr w:type="spellStart"/>
            <w:r w:rsidRPr="00ED6D2E">
              <w:rPr>
                <w:rFonts w:ascii="Times New Roman" w:hAnsi="Times New Roman" w:cs="Times New Roman"/>
              </w:rPr>
              <w:t>Çeşnigir</w:t>
            </w:r>
            <w:proofErr w:type="spellEnd"/>
            <w:r w:rsidRPr="00ED6D2E">
              <w:rPr>
                <w:rFonts w:ascii="Times New Roman" w:hAnsi="Times New Roman" w:cs="Times New Roman"/>
              </w:rPr>
              <w:t xml:space="preserve"> Yöresel Ürünler Pazarlama ve Personel Hizmetleri Anonim Şirketi bünyesinde çalışan personelin toplu sözleşmeden doğan farkları ve artışlar nedeniyle, İl Özel İdaresi Bütçesinde</w:t>
            </w:r>
            <w:r>
              <w:rPr>
                <w:rFonts w:ascii="Times New Roman" w:hAnsi="Times New Roman" w:cs="Times New Roman"/>
              </w:rPr>
              <w:t xml:space="preserve"> ihtiyaç duyulan bölümlere aktarma yapılmasının </w:t>
            </w:r>
            <w:proofErr w:type="gramStart"/>
            <w:r>
              <w:rPr>
                <w:rFonts w:ascii="Times New Roman" w:hAnsi="Times New Roman" w:cs="Times New Roman"/>
              </w:rPr>
              <w:t>hasıl</w:t>
            </w:r>
            <w:proofErr w:type="gramEnd"/>
            <w:r>
              <w:rPr>
                <w:rFonts w:ascii="Times New Roman" w:hAnsi="Times New Roman" w:cs="Times New Roman"/>
              </w:rPr>
              <w:t xml:space="preserve"> olduğu, bu kapsamda</w:t>
            </w:r>
            <w:r w:rsidR="000E0E5B">
              <w:rPr>
                <w:rFonts w:ascii="Times New Roman" w:hAnsi="Times New Roman" w:cs="Times New Roman"/>
              </w:rPr>
              <w:t xml:space="preserve"> olmak üzere;</w:t>
            </w:r>
          </w:p>
          <w:p w:rsidR="00ED6D2E" w:rsidRDefault="00ED6D2E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9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1355"/>
              <w:gridCol w:w="679"/>
              <w:gridCol w:w="983"/>
              <w:gridCol w:w="3137"/>
              <w:gridCol w:w="1204"/>
              <w:gridCol w:w="1134"/>
            </w:tblGrid>
            <w:tr w:rsidR="000E0E5B" w:rsidRPr="00ED6D2E" w:rsidTr="000E0E5B">
              <w:trPr>
                <w:trHeight w:val="480"/>
              </w:trPr>
              <w:tc>
                <w:tcPr>
                  <w:tcW w:w="1421" w:type="dxa"/>
                  <w:tcBorders>
                    <w:top w:val="single" w:sz="8" w:space="0" w:color="737373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Kurumsal</w:t>
                  </w:r>
                </w:p>
              </w:tc>
              <w:tc>
                <w:tcPr>
                  <w:tcW w:w="1355" w:type="dxa"/>
                  <w:tcBorders>
                    <w:top w:val="single" w:sz="8" w:space="0" w:color="737373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Fonksiyonel</w:t>
                  </w:r>
                </w:p>
              </w:tc>
              <w:tc>
                <w:tcPr>
                  <w:tcW w:w="679" w:type="dxa"/>
                  <w:tcBorders>
                    <w:top w:val="single" w:sz="8" w:space="0" w:color="737373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Finans</w:t>
                  </w:r>
                </w:p>
              </w:tc>
              <w:tc>
                <w:tcPr>
                  <w:tcW w:w="983" w:type="dxa"/>
                  <w:tcBorders>
                    <w:top w:val="single" w:sz="8" w:space="0" w:color="737373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Ekonomik</w:t>
                  </w:r>
                </w:p>
              </w:tc>
              <w:tc>
                <w:tcPr>
                  <w:tcW w:w="3137" w:type="dxa"/>
                  <w:tcBorders>
                    <w:top w:val="single" w:sz="8" w:space="0" w:color="737373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0E0E5B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Ayrıntı</w:t>
                  </w: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 xml:space="preserve"> Adı</w:t>
                  </w:r>
                </w:p>
              </w:tc>
              <w:tc>
                <w:tcPr>
                  <w:tcW w:w="1204" w:type="dxa"/>
                  <w:tcBorders>
                    <w:top w:val="single" w:sz="8" w:space="0" w:color="737373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EKLENEN ÖDENEK</w:t>
                  </w:r>
                </w:p>
              </w:tc>
              <w:tc>
                <w:tcPr>
                  <w:tcW w:w="1134" w:type="dxa"/>
                  <w:tcBorders>
                    <w:top w:val="single" w:sz="8" w:space="0" w:color="737373"/>
                    <w:left w:val="single" w:sz="4" w:space="0" w:color="000000"/>
                    <w:bottom w:val="single" w:sz="4" w:space="0" w:color="000000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EKSİLEN ÖDENEK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44.71.01.02.00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01.1.1.00.000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3137" w:type="dxa"/>
                  <w:tcBorders>
                    <w:top w:val="single" w:sz="8" w:space="0" w:color="737373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0E0E5B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VALİLİK TRANSFER</w:t>
                  </w:r>
                </w:p>
              </w:tc>
              <w:tc>
                <w:tcPr>
                  <w:tcW w:w="1204" w:type="dxa"/>
                  <w:tcBorders>
                    <w:top w:val="single" w:sz="8" w:space="0" w:color="737373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737373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750.000,00</w:t>
                  </w:r>
                </w:p>
              </w:tc>
            </w:tr>
            <w:tr w:rsidR="000E0E5B" w:rsidRPr="00ED6D2E" w:rsidTr="000E0E5B">
              <w:trPr>
                <w:trHeight w:val="585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01.3.9.05.000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06.07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İL ÖZEL İDARESİ BİNA VE LOJMAN DEPREM GÜÇLENDİRME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100.000,00</w:t>
                  </w:r>
                </w:p>
              </w:tc>
            </w:tr>
            <w:tr w:rsidR="000E0E5B" w:rsidRPr="00ED6D2E" w:rsidTr="000E0E5B">
              <w:trPr>
                <w:trHeight w:val="615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01.3.9.06.000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06.07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KALKINMA AJANSI MALİ DESTEK PROJELERİ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01.3.9.16.000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03.08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YEŞİL VADİ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04.2.1.05.000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YEM BİTKİSİ VE TOHUMU ALIM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1.500.000,00</w:t>
                  </w:r>
                </w:p>
              </w:tc>
            </w:tr>
            <w:tr w:rsidR="000E0E5B" w:rsidRPr="00ED6D2E" w:rsidTr="000E0E5B">
              <w:trPr>
                <w:trHeight w:val="615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04.2.1.09.000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HAYVAN HASTALIK VE ZARARLILARI İLE MÜCADELE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04.2.1.27.000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YAĞLIK AYÇİÇEĞİ YETİŞTİRİCİLİĞİ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743.750,00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04.2.1.28.000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DANE MISIR YETİŞTİRİCİLİĞİ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621.600,00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04.2.1.29.000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03.05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TIBBİ ATIKLARIN BERTARAFI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04.2.1.30.000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KIRIM KONGO KANAMALI ATEŞİ PROJESİ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04.5.1.09.000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03.08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ÇEŞNİGİR KÖPRÜSÜ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88.200,00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07.2.4.07.000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06.07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112 ACİL SAĞLIK HİZMETLERİ İSTASYONU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04.5.1.03.000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06.05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KÖY YOLLARI YAPIM GİDERİ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2.972.375,52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04.5.1.04.000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06.05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TRAFİK LEVHA ALIM VE YAPIM GİDERLERİ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44.71.01.05.00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01.3.1.00.000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05.01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Görev Zararları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1.000.000,00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lastRenderedPageBreak/>
                    <w:t>44.71.01.05.00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Sözleşmeli Personel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44.71.01.07.00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03.05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Hizmet Alımları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2.849.008,80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44.71.01.07.00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06.03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HARİTA ALIMLARI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150.000,00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>44.71.01.12.00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>01.3.9.17.000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>05.03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>ÇEŞNİGİR PERSONEL ANONİM ŞİRKETİ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b/>
                      <w:bCs/>
                      <w:sz w:val="18"/>
                      <w:szCs w:val="18"/>
                    </w:rPr>
                    <w:t xml:space="preserve">      20.850.000,00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44.71.01.18.00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03.04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Mahkeme Harç Giderleri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1.500.000,00</w:t>
                  </w:r>
                </w:p>
              </w:tc>
            </w:tr>
            <w:tr w:rsidR="000E0E5B" w:rsidRPr="00ED6D2E" w:rsidTr="000E0E5B">
              <w:trPr>
                <w:trHeight w:val="570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44.71.01.32.00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01.1.1.00.000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03.07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 xml:space="preserve">Menkul </w:t>
                  </w:r>
                  <w:proofErr w:type="spellStart"/>
                  <w:proofErr w:type="gramStart"/>
                  <w:r w:rsidRPr="00ED6D2E">
                    <w:rPr>
                      <w:sz w:val="18"/>
                      <w:szCs w:val="18"/>
                    </w:rPr>
                    <w:t>Mal,Gayrimaddi</w:t>
                  </w:r>
                  <w:proofErr w:type="spellEnd"/>
                  <w:proofErr w:type="gramEnd"/>
                  <w:r w:rsidRPr="00ED6D2E">
                    <w:rPr>
                      <w:sz w:val="18"/>
                      <w:szCs w:val="18"/>
                    </w:rPr>
                    <w:t xml:space="preserve"> Hak Alım, Bakım Ve Onarım Giderleri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01.1.2.00.000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05.08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Gelirlerden Ayrılan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3.500.000,00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01.6.0.04.000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KÖYLERE YARDIM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2.000.000,00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01.6.0.05.000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05.02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KÖYLERE HİZMET GÖTÜRME BİRLİĞİ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1.378.844,68</w:t>
                  </w:r>
                </w:p>
              </w:tc>
            </w:tr>
            <w:tr w:rsidR="000E0E5B" w:rsidRPr="00ED6D2E" w:rsidTr="000E0E5B">
              <w:trPr>
                <w:trHeight w:val="585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01.6.0.07.000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4109 S.K.G. MUHTAÇ ASKER AİLESİNE YARDIM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81.221,00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44.71.01.37.00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03.04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Görev Giderleri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25.000,00</w:t>
                  </w:r>
                </w:p>
              </w:tc>
            </w:tr>
            <w:tr w:rsidR="000E0E5B" w:rsidRPr="00ED6D2E" w:rsidTr="000E0E5B">
              <w:trPr>
                <w:trHeight w:val="499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44.71.01.37.00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center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03.05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Hizmet Alımları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737373"/>
                    <w:right w:val="single" w:sz="8" w:space="0" w:color="737373"/>
                  </w:tcBorders>
                  <w:shd w:val="clear" w:color="000000" w:fill="FFFFFF"/>
                  <w:vAlign w:val="center"/>
                  <w:hideMark/>
                </w:tcPr>
                <w:p w:rsidR="00ED6D2E" w:rsidRPr="00ED6D2E" w:rsidRDefault="00ED6D2E" w:rsidP="00ED6D2E">
                  <w:pPr>
                    <w:jc w:val="right"/>
                    <w:rPr>
                      <w:sz w:val="18"/>
                      <w:szCs w:val="18"/>
                    </w:rPr>
                  </w:pPr>
                  <w:r w:rsidRPr="00ED6D2E">
                    <w:rPr>
                      <w:sz w:val="18"/>
                      <w:szCs w:val="18"/>
                    </w:rPr>
                    <w:t>20.000,00</w:t>
                  </w:r>
                </w:p>
              </w:tc>
            </w:tr>
            <w:tr w:rsidR="000E0E5B" w:rsidRPr="00ED6D2E" w:rsidTr="000E0E5B">
              <w:trPr>
                <w:trHeight w:val="291"/>
              </w:trPr>
              <w:tc>
                <w:tcPr>
                  <w:tcW w:w="1421" w:type="dxa"/>
                  <w:tcBorders>
                    <w:top w:val="nil"/>
                    <w:left w:val="single" w:sz="8" w:space="0" w:color="737373"/>
                    <w:bottom w:val="single" w:sz="8" w:space="0" w:color="737373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737373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8" w:space="0" w:color="737373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737373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7" w:type="dxa"/>
                  <w:tcBorders>
                    <w:top w:val="single" w:sz="4" w:space="0" w:color="000000"/>
                    <w:left w:val="nil"/>
                    <w:bottom w:val="single" w:sz="8" w:space="0" w:color="737373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ED6D2E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D6D2E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nil"/>
                    <w:bottom w:val="single" w:sz="8" w:space="0" w:color="737373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0E0E5B" w:rsidP="000E0E5B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 w:rsidRPr="000E0E5B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 xml:space="preserve"> </w:t>
                  </w:r>
                  <w:r w:rsidR="00ED6D2E" w:rsidRPr="00ED6D2E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 xml:space="preserve">20.850.000,00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737373"/>
                    <w:right w:val="single" w:sz="8" w:space="0" w:color="737373"/>
                  </w:tcBorders>
                  <w:shd w:val="clear" w:color="000000" w:fill="BFBFBF"/>
                  <w:vAlign w:val="center"/>
                  <w:hideMark/>
                </w:tcPr>
                <w:p w:rsidR="00ED6D2E" w:rsidRPr="00ED6D2E" w:rsidRDefault="00ED6D2E" w:rsidP="000E0E5B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 w:rsidRPr="00ED6D2E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20.850.000,0</w:t>
                  </w:r>
                  <w:r w:rsidR="000E0E5B" w:rsidRPr="000E0E5B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ED6D2E" w:rsidRDefault="00ED6D2E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</w:p>
          <w:p w:rsidR="00ED6D2E" w:rsidRDefault="00ED6D2E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</w:p>
          <w:p w:rsidR="00ED6D2E" w:rsidRDefault="00ED6D2E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Yukarıda açıklaması yapılan </w:t>
            </w:r>
            <w:r w:rsidR="000E0E5B">
              <w:rPr>
                <w:rFonts w:ascii="Times New Roman" w:hAnsi="Times New Roman" w:cs="Times New Roman"/>
              </w:rPr>
              <w:t>ihtiyaç fazlası bölümlerden, ihtiyaç duyulan bölüme aktarma yapılmasına komisyonumuzca oybirliğiyle karar verildi.</w:t>
            </w:r>
          </w:p>
          <w:p w:rsidR="000E0E5B" w:rsidRDefault="000E0E5B" w:rsidP="00ED6D2E">
            <w:pPr>
              <w:pStyle w:val="Stil"/>
              <w:jc w:val="both"/>
              <w:rPr>
                <w:rFonts w:ascii="Times New Roman" w:hAnsi="Times New Roman" w:cs="Times New Roman"/>
              </w:rPr>
            </w:pPr>
          </w:p>
          <w:p w:rsidR="004B2360" w:rsidRDefault="00D34E34" w:rsidP="00ED6D2E">
            <w:pPr>
              <w:pStyle w:val="Stil"/>
              <w:jc w:val="both"/>
            </w:pPr>
            <w:r>
              <w:t xml:space="preserve">       </w:t>
            </w:r>
            <w:r w:rsidRPr="004B2360">
              <w:rPr>
                <w:rFonts w:ascii="Times New Roman" w:hAnsi="Times New Roman" w:cs="Times New Roman"/>
              </w:rPr>
              <w:t xml:space="preserve">5302 Sayılı Yasanın 16.maddesi ve İl Genel Meclisi Çalışma Yönetmeliğinin 20.Maddesi kapsamında yapılan Komisyon çalışmasına ait rapor İl Genel Meclisinin takdirlerine arz olunur. </w:t>
            </w:r>
          </w:p>
        </w:tc>
      </w:tr>
      <w:tr w:rsidR="00E14DC4" w:rsidTr="00BE7B3F">
        <w:trPr>
          <w:trHeight w:val="235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4" w:rsidRDefault="00E14DC4" w:rsidP="001545F6">
            <w:pPr>
              <w:pStyle w:val="ListeParagraf"/>
              <w:ind w:left="0"/>
              <w:jc w:val="both"/>
            </w:pPr>
          </w:p>
          <w:p w:rsidR="00D34E34" w:rsidRDefault="00D34E34" w:rsidP="001545F6">
            <w:pPr>
              <w:pStyle w:val="ListeParagraf"/>
              <w:ind w:left="0"/>
              <w:jc w:val="both"/>
            </w:pPr>
          </w:p>
          <w:p w:rsidR="000E0E5B" w:rsidRDefault="000E0E5B" w:rsidP="001545F6">
            <w:pPr>
              <w:pStyle w:val="ListeParagraf"/>
              <w:ind w:left="0"/>
              <w:jc w:val="both"/>
            </w:pPr>
          </w:p>
          <w:p w:rsidR="000E0E5B" w:rsidRDefault="000E0E5B" w:rsidP="001545F6">
            <w:pPr>
              <w:pStyle w:val="ListeParagraf"/>
              <w:ind w:left="0"/>
              <w:jc w:val="both"/>
            </w:pPr>
          </w:p>
          <w:p w:rsidR="000E0E5B" w:rsidRDefault="000E0E5B" w:rsidP="001545F6">
            <w:pPr>
              <w:pStyle w:val="ListeParagraf"/>
              <w:ind w:left="0"/>
              <w:jc w:val="both"/>
            </w:pPr>
          </w:p>
          <w:p w:rsidR="000E0E5B" w:rsidRDefault="000E0E5B" w:rsidP="001545F6">
            <w:pPr>
              <w:pStyle w:val="ListeParagraf"/>
              <w:ind w:left="0"/>
              <w:jc w:val="both"/>
            </w:pPr>
          </w:p>
          <w:p w:rsidR="00D34E34" w:rsidRDefault="00BA0D78" w:rsidP="00D34E34">
            <w:pPr>
              <w:pStyle w:val="ListeParagraf"/>
              <w:ind w:left="0"/>
              <w:jc w:val="both"/>
            </w:pPr>
            <w:r>
              <w:t>Hilmi ŞEN</w:t>
            </w:r>
            <w:r w:rsidR="00D34E34">
              <w:t xml:space="preserve">                             </w:t>
            </w:r>
            <w:r w:rsidR="00075D70">
              <w:t>Şükrü EVCİ</w:t>
            </w:r>
            <w:r w:rsidR="00D34E34">
              <w:t xml:space="preserve">            </w:t>
            </w:r>
            <w:r w:rsidR="00075D70">
              <w:t xml:space="preserve">     Alper ÖZGÜ</w:t>
            </w:r>
            <w:r w:rsidR="00D34E34">
              <w:t xml:space="preserve">        </w:t>
            </w:r>
            <w:r w:rsidR="00075D70">
              <w:t xml:space="preserve">        Hamza KUTLUCA</w:t>
            </w:r>
            <w:r w:rsidR="00D34E34">
              <w:t xml:space="preserve">     </w:t>
            </w:r>
          </w:p>
          <w:p w:rsidR="00D34E34" w:rsidRDefault="00D34E34" w:rsidP="00D34E34">
            <w:pPr>
              <w:pStyle w:val="ListeParagraf"/>
              <w:ind w:left="0"/>
              <w:jc w:val="both"/>
            </w:pPr>
            <w:r>
              <w:t xml:space="preserve">Komisyon Başkanı                Başkan Vekili                    Sözcü                          </w:t>
            </w:r>
            <w:r w:rsidR="009115AE">
              <w:t xml:space="preserve">        </w:t>
            </w:r>
            <w:r>
              <w:t>Üye</w:t>
            </w:r>
          </w:p>
          <w:p w:rsidR="00D34E34" w:rsidRDefault="00D34E34" w:rsidP="00D34E34">
            <w:pPr>
              <w:pStyle w:val="ListeParagraf"/>
              <w:ind w:left="0"/>
              <w:jc w:val="both"/>
            </w:pPr>
          </w:p>
          <w:p w:rsidR="00D34E34" w:rsidRDefault="00D34E34" w:rsidP="00D34E34">
            <w:pPr>
              <w:pStyle w:val="ListeParagraf"/>
              <w:ind w:left="0"/>
              <w:jc w:val="both"/>
            </w:pPr>
          </w:p>
          <w:p w:rsidR="003D7224" w:rsidRDefault="003D7224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D34E34" w:rsidRDefault="00D34E34" w:rsidP="00D34E34">
            <w:pPr>
              <w:pStyle w:val="ListeParagraf"/>
              <w:ind w:left="0"/>
              <w:jc w:val="both"/>
            </w:pPr>
          </w:p>
          <w:p w:rsidR="00D34E34" w:rsidRDefault="00D34E34" w:rsidP="00D34E34">
            <w:pPr>
              <w:pStyle w:val="ListeParagraf"/>
              <w:ind w:left="0"/>
            </w:pPr>
            <w:r>
              <w:t xml:space="preserve">     </w:t>
            </w:r>
            <w:r w:rsidR="00075D70">
              <w:t>Hüseyin ULUYÜREK</w:t>
            </w:r>
            <w:r w:rsidR="009115AE">
              <w:t xml:space="preserve">                 </w:t>
            </w:r>
            <w:r w:rsidR="00075D70">
              <w:t xml:space="preserve">       Muhsin YAKUT</w:t>
            </w:r>
            <w:r>
              <w:t xml:space="preserve">                      </w:t>
            </w:r>
            <w:r w:rsidR="009115AE">
              <w:t xml:space="preserve"> </w:t>
            </w:r>
            <w:r>
              <w:t xml:space="preserve">   </w:t>
            </w:r>
            <w:r w:rsidR="00075D70">
              <w:t xml:space="preserve">     İlyas CANÖZ</w:t>
            </w:r>
            <w:r>
              <w:t xml:space="preserve">                                            </w:t>
            </w:r>
          </w:p>
          <w:p w:rsidR="00D34E34" w:rsidRDefault="00D34E34" w:rsidP="00D34E34">
            <w:pPr>
              <w:pStyle w:val="ListeParagraf"/>
              <w:ind w:left="0"/>
              <w:jc w:val="both"/>
            </w:pPr>
            <w:r>
              <w:t xml:space="preserve">           </w:t>
            </w:r>
            <w:r w:rsidR="00075D70">
              <w:t xml:space="preserve">        </w:t>
            </w:r>
            <w:r>
              <w:t xml:space="preserve">Üye                                          </w:t>
            </w:r>
            <w:r w:rsidR="00075D70">
              <w:t xml:space="preserve">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</w:t>
            </w:r>
            <w:r w:rsidR="00BA0D78">
              <w:t xml:space="preserve">    </w:t>
            </w:r>
            <w:proofErr w:type="spellStart"/>
            <w:r>
              <w:t>Üye</w:t>
            </w:r>
            <w:proofErr w:type="spellEnd"/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0E0E5B" w:rsidRDefault="000E0E5B" w:rsidP="00D34E34">
            <w:pPr>
              <w:pStyle w:val="ListeParagraf"/>
              <w:ind w:left="0"/>
              <w:jc w:val="both"/>
            </w:pPr>
          </w:p>
          <w:p w:rsidR="00D34E34" w:rsidRDefault="00D34E34" w:rsidP="004B2360">
            <w:pPr>
              <w:pStyle w:val="ListeParagraf"/>
              <w:ind w:left="0"/>
              <w:jc w:val="both"/>
            </w:pPr>
          </w:p>
        </w:tc>
      </w:tr>
    </w:tbl>
    <w:p w:rsidR="00D81858" w:rsidRDefault="00D81858"/>
    <w:sectPr w:rsidR="00D81858" w:rsidSect="00E14DC4">
      <w:pgSz w:w="11906" w:h="16838"/>
      <w:pgMar w:top="426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0E"/>
    <w:rsid w:val="00075D70"/>
    <w:rsid w:val="000C0FD9"/>
    <w:rsid w:val="000E0E5B"/>
    <w:rsid w:val="003B4FAB"/>
    <w:rsid w:val="003D7224"/>
    <w:rsid w:val="003F1C2E"/>
    <w:rsid w:val="004B2360"/>
    <w:rsid w:val="006C13D6"/>
    <w:rsid w:val="007B01EE"/>
    <w:rsid w:val="009115AE"/>
    <w:rsid w:val="00912862"/>
    <w:rsid w:val="009B4069"/>
    <w:rsid w:val="00AC157C"/>
    <w:rsid w:val="00B403A6"/>
    <w:rsid w:val="00BA0D78"/>
    <w:rsid w:val="00BE7B3F"/>
    <w:rsid w:val="00C64732"/>
    <w:rsid w:val="00CC1E31"/>
    <w:rsid w:val="00D34E34"/>
    <w:rsid w:val="00D81858"/>
    <w:rsid w:val="00E14DC4"/>
    <w:rsid w:val="00EB6180"/>
    <w:rsid w:val="00ED6D2E"/>
    <w:rsid w:val="00EE3EF8"/>
    <w:rsid w:val="00F26882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4DC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14D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4DC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14DC4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">
    <w:name w:val="Stil"/>
    <w:uiPriority w:val="99"/>
    <w:rsid w:val="006C1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7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73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4DC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14D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4DC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14DC4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">
    <w:name w:val="Stil"/>
    <w:uiPriority w:val="99"/>
    <w:rsid w:val="006C1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7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73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11</cp:revision>
  <cp:lastPrinted>2023-12-07T13:07:00Z</cp:lastPrinted>
  <dcterms:created xsi:type="dcterms:W3CDTF">2021-11-18T06:46:00Z</dcterms:created>
  <dcterms:modified xsi:type="dcterms:W3CDTF">2023-12-07T13:09:00Z</dcterms:modified>
</cp:coreProperties>
</file>