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2CC" w:rsidRDefault="008D72CC" w:rsidP="008D72CC">
      <w:pPr>
        <w:tabs>
          <w:tab w:val="left" w:pos="3285"/>
        </w:tabs>
        <w:jc w:val="center"/>
        <w:rPr>
          <w:b/>
        </w:rPr>
      </w:pPr>
      <w:r>
        <w:rPr>
          <w:b/>
        </w:rPr>
        <w:t>T.C.</w:t>
      </w:r>
    </w:p>
    <w:p w:rsidR="008D72CC" w:rsidRDefault="008D72CC" w:rsidP="008D72CC">
      <w:pPr>
        <w:tabs>
          <w:tab w:val="left" w:pos="3285"/>
        </w:tabs>
        <w:jc w:val="center"/>
        <w:rPr>
          <w:b/>
        </w:rPr>
      </w:pPr>
      <w:r>
        <w:rPr>
          <w:b/>
        </w:rPr>
        <w:t>KIRIKKALE İL ÖZEL İDARESİ</w:t>
      </w:r>
    </w:p>
    <w:p w:rsidR="008D72CC" w:rsidRDefault="008D72CC" w:rsidP="008D72CC">
      <w:pPr>
        <w:tabs>
          <w:tab w:val="left" w:pos="3285"/>
        </w:tabs>
        <w:jc w:val="center"/>
        <w:rPr>
          <w:b/>
        </w:rPr>
      </w:pPr>
      <w:r>
        <w:rPr>
          <w:b/>
        </w:rPr>
        <w:t xml:space="preserve">İL GENEL MECLİSİ </w:t>
      </w:r>
    </w:p>
    <w:p w:rsidR="008D72CC" w:rsidRDefault="008D72CC" w:rsidP="008D72CC">
      <w:pPr>
        <w:tabs>
          <w:tab w:val="left" w:pos="3285"/>
        </w:tabs>
        <w:jc w:val="center"/>
        <w:rPr>
          <w:b/>
        </w:rPr>
      </w:pPr>
      <w:r>
        <w:rPr>
          <w:b/>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8D72CC" w:rsidTr="008D72CC">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center" w:pos="4536"/>
                <w:tab w:val="right" w:pos="9072"/>
              </w:tabs>
              <w:spacing w:line="276" w:lineRule="auto"/>
              <w:rPr>
                <w:b/>
                <w:sz w:val="22"/>
                <w:lang w:eastAsia="en-US"/>
              </w:rPr>
            </w:pPr>
            <w:r>
              <w:rPr>
                <w:b/>
                <w:sz w:val="22"/>
                <w:lang w:eastAsia="en-US"/>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center" w:pos="4536"/>
                <w:tab w:val="right" w:pos="9072"/>
              </w:tabs>
              <w:spacing w:line="276" w:lineRule="auto"/>
              <w:rPr>
                <w:b/>
                <w:lang w:eastAsia="en-US"/>
              </w:rPr>
            </w:pPr>
            <w:r>
              <w:rPr>
                <w:b/>
                <w:lang w:eastAsia="en-US"/>
              </w:rPr>
              <w:t>Tarık KAYA</w:t>
            </w:r>
          </w:p>
        </w:tc>
      </w:tr>
      <w:tr w:rsidR="008D72CC" w:rsidTr="008D72CC">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center" w:pos="4536"/>
                <w:tab w:val="right" w:pos="9072"/>
              </w:tabs>
              <w:spacing w:line="276" w:lineRule="auto"/>
              <w:rPr>
                <w:b/>
                <w:sz w:val="22"/>
                <w:lang w:eastAsia="en-US"/>
              </w:rPr>
            </w:pPr>
            <w:r>
              <w:rPr>
                <w:b/>
                <w:sz w:val="22"/>
                <w:lang w:eastAsia="en-US"/>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center" w:pos="4536"/>
                <w:tab w:val="right" w:pos="9072"/>
              </w:tabs>
              <w:spacing w:line="276" w:lineRule="auto"/>
              <w:rPr>
                <w:b/>
                <w:lang w:eastAsia="en-US"/>
              </w:rPr>
            </w:pPr>
            <w:r>
              <w:rPr>
                <w:b/>
                <w:lang w:eastAsia="en-US"/>
              </w:rPr>
              <w:t>Harun OĞUZ</w:t>
            </w:r>
          </w:p>
        </w:tc>
      </w:tr>
      <w:tr w:rsidR="008D72CC" w:rsidTr="008D72CC">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center" w:pos="4536"/>
                <w:tab w:val="right" w:pos="9072"/>
              </w:tabs>
              <w:spacing w:line="276" w:lineRule="auto"/>
              <w:rPr>
                <w:b/>
                <w:sz w:val="22"/>
                <w:lang w:eastAsia="en-US"/>
              </w:rPr>
            </w:pPr>
            <w:r>
              <w:rPr>
                <w:b/>
                <w:sz w:val="22"/>
                <w:lang w:eastAsia="en-US"/>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center" w:pos="4536"/>
                <w:tab w:val="right" w:pos="9072"/>
              </w:tabs>
              <w:spacing w:line="276" w:lineRule="auto"/>
              <w:rPr>
                <w:b/>
                <w:lang w:eastAsia="en-US"/>
              </w:rPr>
            </w:pPr>
            <w:r>
              <w:rPr>
                <w:b/>
                <w:lang w:eastAsia="en-US"/>
              </w:rPr>
              <w:t xml:space="preserve">Nuri KÖKSOY, </w:t>
            </w:r>
            <w:proofErr w:type="spellStart"/>
            <w:r>
              <w:rPr>
                <w:b/>
                <w:lang w:eastAsia="en-US"/>
              </w:rPr>
              <w:t>M.Kürşad</w:t>
            </w:r>
            <w:proofErr w:type="spellEnd"/>
            <w:r>
              <w:rPr>
                <w:b/>
                <w:lang w:eastAsia="en-US"/>
              </w:rPr>
              <w:t xml:space="preserve"> ÇİÇEK,  Azmi ÖZKAN</w:t>
            </w:r>
          </w:p>
        </w:tc>
      </w:tr>
      <w:tr w:rsidR="008D72CC" w:rsidTr="008D72CC">
        <w:tc>
          <w:tcPr>
            <w:tcW w:w="3369" w:type="dxa"/>
            <w:tcBorders>
              <w:top w:val="single" w:sz="4" w:space="0" w:color="auto"/>
              <w:left w:val="single" w:sz="4" w:space="0" w:color="auto"/>
              <w:bottom w:val="single" w:sz="4" w:space="0" w:color="auto"/>
              <w:right w:val="single" w:sz="4" w:space="0" w:color="auto"/>
            </w:tcBorders>
            <w:hideMark/>
          </w:tcPr>
          <w:p w:rsidR="008D72CC" w:rsidRDefault="008D72CC">
            <w:pPr>
              <w:tabs>
                <w:tab w:val="left" w:pos="3285"/>
              </w:tabs>
              <w:spacing w:line="276" w:lineRule="auto"/>
              <w:rPr>
                <w:b/>
                <w:sz w:val="22"/>
                <w:lang w:eastAsia="en-US"/>
              </w:rPr>
            </w:pPr>
            <w:r>
              <w:rPr>
                <w:b/>
                <w:sz w:val="22"/>
                <w:szCs w:val="22"/>
                <w:lang w:eastAsia="en-US"/>
              </w:rPr>
              <w:t>ÖNERGENİN TARİHİ</w:t>
            </w:r>
          </w:p>
        </w:tc>
        <w:tc>
          <w:tcPr>
            <w:tcW w:w="6662" w:type="dxa"/>
            <w:gridSpan w:val="2"/>
            <w:tcBorders>
              <w:top w:val="single" w:sz="4" w:space="0" w:color="auto"/>
              <w:left w:val="single" w:sz="4" w:space="0" w:color="auto"/>
              <w:bottom w:val="single" w:sz="4" w:space="0" w:color="auto"/>
              <w:right w:val="single" w:sz="4" w:space="0" w:color="auto"/>
            </w:tcBorders>
            <w:hideMark/>
          </w:tcPr>
          <w:p w:rsidR="008D72CC" w:rsidRDefault="008D72CC">
            <w:pPr>
              <w:tabs>
                <w:tab w:val="left" w:pos="3285"/>
              </w:tabs>
              <w:spacing w:line="276" w:lineRule="auto"/>
              <w:rPr>
                <w:b/>
                <w:lang w:eastAsia="en-US"/>
              </w:rPr>
            </w:pPr>
            <w:r>
              <w:rPr>
                <w:b/>
                <w:lang w:eastAsia="en-US"/>
              </w:rPr>
              <w:t>06.12.2019</w:t>
            </w:r>
          </w:p>
        </w:tc>
      </w:tr>
      <w:tr w:rsidR="008D72CC" w:rsidTr="008D72CC">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left" w:pos="3285"/>
              </w:tabs>
              <w:spacing w:line="276" w:lineRule="auto"/>
              <w:rPr>
                <w:b/>
                <w:sz w:val="22"/>
                <w:lang w:eastAsia="en-US"/>
              </w:rPr>
            </w:pPr>
            <w:r>
              <w:rPr>
                <w:b/>
                <w:sz w:val="22"/>
                <w:szCs w:val="22"/>
                <w:lang w:eastAsia="en-US"/>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8D72CC" w:rsidRDefault="008D72CC">
            <w:pPr>
              <w:tabs>
                <w:tab w:val="left" w:pos="3285"/>
              </w:tabs>
              <w:spacing w:line="276" w:lineRule="auto"/>
              <w:jc w:val="both"/>
              <w:rPr>
                <w:b/>
                <w:lang w:eastAsia="en-US"/>
              </w:rPr>
            </w:pPr>
            <w:r>
              <w:rPr>
                <w:b/>
                <w:lang w:eastAsia="en-US"/>
              </w:rPr>
              <w:t>Arabuluculuk sistemi</w:t>
            </w:r>
          </w:p>
        </w:tc>
      </w:tr>
      <w:tr w:rsidR="008D72CC" w:rsidTr="008D72CC">
        <w:tc>
          <w:tcPr>
            <w:tcW w:w="3369" w:type="dxa"/>
            <w:tcBorders>
              <w:top w:val="single" w:sz="4" w:space="0" w:color="auto"/>
              <w:left w:val="single" w:sz="4" w:space="0" w:color="auto"/>
              <w:bottom w:val="single" w:sz="4" w:space="0" w:color="auto"/>
              <w:right w:val="single" w:sz="4" w:space="0" w:color="auto"/>
            </w:tcBorders>
            <w:hideMark/>
          </w:tcPr>
          <w:p w:rsidR="008D72CC" w:rsidRDefault="008D72CC">
            <w:pPr>
              <w:tabs>
                <w:tab w:val="left" w:pos="3285"/>
              </w:tabs>
              <w:spacing w:line="276" w:lineRule="auto"/>
              <w:rPr>
                <w:b/>
                <w:sz w:val="22"/>
                <w:lang w:eastAsia="en-US"/>
              </w:rPr>
            </w:pPr>
            <w:r>
              <w:rPr>
                <w:b/>
                <w:sz w:val="22"/>
                <w:szCs w:val="22"/>
                <w:lang w:eastAsia="en-US"/>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hideMark/>
          </w:tcPr>
          <w:p w:rsidR="008D72CC" w:rsidRDefault="008D72CC">
            <w:pPr>
              <w:tabs>
                <w:tab w:val="left" w:pos="3285"/>
              </w:tabs>
              <w:spacing w:line="276" w:lineRule="auto"/>
              <w:rPr>
                <w:b/>
                <w:lang w:eastAsia="en-US"/>
              </w:rPr>
            </w:pPr>
            <w:r>
              <w:rPr>
                <w:b/>
                <w:lang w:eastAsia="en-US"/>
              </w:rPr>
              <w:t>06.12.2019</w:t>
            </w:r>
          </w:p>
        </w:tc>
      </w:tr>
      <w:tr w:rsidR="008D72CC" w:rsidTr="008D72CC">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8D72CC" w:rsidRDefault="008D72CC" w:rsidP="008D72CC">
            <w:pPr>
              <w:spacing w:line="276" w:lineRule="auto"/>
              <w:jc w:val="center"/>
              <w:rPr>
                <w:sz w:val="28"/>
                <w:szCs w:val="28"/>
                <w:lang w:eastAsia="en-US"/>
              </w:rPr>
            </w:pPr>
            <w:r>
              <w:rPr>
                <w:b/>
              </w:rPr>
              <w:t>RAPOR</w:t>
            </w:r>
          </w:p>
          <w:p w:rsidR="008D72CC" w:rsidRDefault="008D72CC">
            <w:pPr>
              <w:tabs>
                <w:tab w:val="center" w:pos="3179"/>
                <w:tab w:val="center" w:pos="6104"/>
                <w:tab w:val="center" w:pos="7439"/>
                <w:tab w:val="right" w:pos="9214"/>
              </w:tabs>
              <w:spacing w:line="256" w:lineRule="auto"/>
              <w:jc w:val="both"/>
              <w:rPr>
                <w:lang w:eastAsia="en-US"/>
              </w:rPr>
            </w:pPr>
            <w:r>
              <w:rPr>
                <w:lang w:eastAsia="en-US"/>
              </w:rPr>
              <w:t xml:space="preserve">    5302 Sayılı yasa kapsamında verilen önergede arabuluculuk sistemi hakkında çalışma yapılarak İl Genel Meclisinin bilgilendirilmesi istenmiş, verilen önerge gereği, Komisyonumuz tarafından 16-17-18-19-20 Aralık 2019 tarihlerinde yapılan çalışmadan sonra aşağıdaki rapor bilgi amaçlı hazırlanmıştır.</w:t>
            </w:r>
          </w:p>
          <w:p w:rsidR="008D72CC" w:rsidRDefault="008D72CC" w:rsidP="008D72CC">
            <w:pPr>
              <w:tabs>
                <w:tab w:val="center" w:pos="3179"/>
                <w:tab w:val="center" w:pos="6104"/>
                <w:tab w:val="center" w:pos="7439"/>
                <w:tab w:val="right" w:pos="9214"/>
              </w:tabs>
              <w:spacing w:line="256" w:lineRule="auto"/>
              <w:jc w:val="both"/>
              <w:rPr>
                <w:lang w:eastAsia="en-US"/>
              </w:rPr>
            </w:pPr>
            <w:r>
              <w:rPr>
                <w:lang w:eastAsia="en-US"/>
              </w:rPr>
              <w:t xml:space="preserve">      Türkiye genelinde yaşana uyuşmazlıkların tamamının mahkemelere gitmesi nedeniyle oluşan yoğunluğun önüne geçilmesi, daha pratik bir sonuç elde edilmesi için arabuluculuk sistemi getirilerek uyuşmazlıkların mahkemeye gidilmeden çözümlenmesi amaçlanmış kanun 2018 yılında işçi ve </w:t>
            </w:r>
            <w:proofErr w:type="gramStart"/>
            <w:r>
              <w:rPr>
                <w:lang w:eastAsia="en-US"/>
              </w:rPr>
              <w:t>iş veren</w:t>
            </w:r>
            <w:proofErr w:type="gramEnd"/>
            <w:r>
              <w:rPr>
                <w:lang w:eastAsia="en-US"/>
              </w:rPr>
              <w:t xml:space="preserve"> uyuşmazlıklarında 2019 yılında ise tüm ticari faaliyetlerdeki uyuşmazlıkların mahkeme gidilmeden arabuluculuk sisteminin uygulanmasını zorunlu hale getirmiştir.</w:t>
            </w:r>
          </w:p>
          <w:p w:rsidR="008D72CC" w:rsidRDefault="008D72CC" w:rsidP="008D72CC">
            <w:pPr>
              <w:pStyle w:val="Default"/>
              <w:spacing w:line="276" w:lineRule="auto"/>
              <w:jc w:val="both"/>
              <w:rPr>
                <w:lang w:eastAsia="en-US"/>
              </w:rPr>
            </w:pPr>
            <w:r>
              <w:rPr>
                <w:lang w:eastAsia="en-US"/>
              </w:rPr>
              <w:t xml:space="preserve">    </w:t>
            </w:r>
            <w:proofErr w:type="gramStart"/>
            <w:r>
              <w:rPr>
                <w:lang w:eastAsia="en-US"/>
              </w:rPr>
              <w:t xml:space="preserve">Arabuluculuk: 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ortaya çıkması hâlinde çözüm önerisi de getirebilen, uzmanlık eğitimi almış olan tarafsız ve bağımsız bir üçüncü kişinin katılımıyla ve ihtiyarî olarak yürütülen uyuşmazlık çözüm yöntemini, belirlenmiştir. </w:t>
            </w:r>
            <w:proofErr w:type="gramEnd"/>
          </w:p>
          <w:p w:rsidR="008D72CC" w:rsidRDefault="008D72CC">
            <w:pPr>
              <w:spacing w:line="276" w:lineRule="auto"/>
              <w:ind w:left="4" w:right="119"/>
              <w:jc w:val="both"/>
              <w:rPr>
                <w:lang w:eastAsia="en-US"/>
              </w:rPr>
            </w:pPr>
            <w:r>
              <w:rPr>
                <w:lang w:eastAsia="en-US"/>
              </w:rPr>
              <w:t xml:space="preserve">İşçi İşveren anlaşmazlıkları </w:t>
            </w:r>
            <w:proofErr w:type="gramStart"/>
            <w:r>
              <w:rPr>
                <w:lang w:eastAsia="en-US"/>
              </w:rPr>
              <w:t>ve  ticari</w:t>
            </w:r>
            <w:proofErr w:type="gramEnd"/>
            <w:r>
              <w:rPr>
                <w:lang w:eastAsia="en-US"/>
              </w:rPr>
              <w:t xml:space="preserve">  uyuşmazlıklarda mahkemeye gidilmeden önce illerde bulunan yetkili uyuşmazlık bürolarına </w:t>
            </w:r>
            <w:proofErr w:type="spellStart"/>
            <w:r>
              <w:rPr>
                <w:lang w:eastAsia="en-US"/>
              </w:rPr>
              <w:t>mürecaat</w:t>
            </w:r>
            <w:proofErr w:type="spellEnd"/>
            <w:r>
              <w:rPr>
                <w:lang w:eastAsia="en-US"/>
              </w:rPr>
              <w:t xml:space="preserve"> edilmesi gerekmektedir. Arabuluculuk bürosuna başvurulmasından son tutanağın düzenlendiği tarihe kadar geçen sürede zamanaşımı durur ve hak düşürücü süre işlememek kaydıyla işleme başlanmış olur. </w:t>
            </w:r>
          </w:p>
          <w:p w:rsidR="008D72CC" w:rsidRDefault="008D72CC">
            <w:pPr>
              <w:spacing w:line="276" w:lineRule="auto"/>
              <w:ind w:left="4" w:right="119"/>
              <w:jc w:val="both"/>
              <w:rPr>
                <w:lang w:eastAsia="en-US"/>
              </w:rPr>
            </w:pPr>
            <w:r>
              <w:rPr>
                <w:lang w:eastAsia="en-US"/>
              </w:rPr>
              <w:t xml:space="preserve"> 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
          <w:p w:rsidR="008D72CC" w:rsidRDefault="008D72CC">
            <w:pPr>
              <w:spacing w:line="276" w:lineRule="auto"/>
              <w:ind w:left="4" w:right="10"/>
              <w:jc w:val="both"/>
              <w:rPr>
                <w:lang w:eastAsia="en-US"/>
              </w:rPr>
            </w:pPr>
            <w:r>
              <w:rPr>
                <w:lang w:eastAsia="en-US"/>
              </w:rPr>
              <w:t>Arabulucu, yapılan başvuruyu görevlendirildiği tarihten İtibaren üç hafta içinde sonuçlandırır. Bu süre zorunlu hâllerde arabulucu tarafından en fazla bir hafta uzatılabilir</w:t>
            </w:r>
            <w:proofErr w:type="gramStart"/>
            <w:r>
              <w:rPr>
                <w:lang w:eastAsia="en-US"/>
              </w:rPr>
              <w:t>(</w:t>
            </w:r>
            <w:proofErr w:type="gramEnd"/>
            <w:r>
              <w:rPr>
                <w:lang w:eastAsia="en-US"/>
              </w:rPr>
              <w:t>iş</w:t>
            </w:r>
          </w:p>
          <w:p w:rsidR="008D72CC" w:rsidRDefault="008D72CC">
            <w:pPr>
              <w:spacing w:line="276" w:lineRule="auto"/>
              <w:ind w:left="4"/>
              <w:jc w:val="both"/>
              <w:rPr>
                <w:lang w:eastAsia="en-US"/>
              </w:rPr>
            </w:pPr>
            <w:r>
              <w:rPr>
                <w:lang w:eastAsia="en-US"/>
              </w:rPr>
              <w:t xml:space="preserve">Arabulucu, taraflara ulaşılamaması, taraflar katılmadığı için görüşme yapılamaması yahut yapılan görüşmeler sonucunda anlaşmaya varılması veya varılamaması hâllerinde arabuluculuk faaliyetini sona </w:t>
            </w:r>
            <w:proofErr w:type="spellStart"/>
            <w:r>
              <w:rPr>
                <w:lang w:eastAsia="en-US"/>
              </w:rPr>
              <w:t>erdirır</w:t>
            </w:r>
            <w:proofErr w:type="spellEnd"/>
            <w:r>
              <w:rPr>
                <w:lang w:eastAsia="en-US"/>
              </w:rPr>
              <w:t xml:space="preserve"> ve son tutanağı düzenleyerek durumu derhâl arabuluculuk 'bürosuna bildirir </w:t>
            </w:r>
          </w:p>
          <w:p w:rsidR="008D72CC" w:rsidRDefault="008D72CC">
            <w:pPr>
              <w:spacing w:line="276" w:lineRule="auto"/>
              <w:ind w:left="4" w:right="119"/>
              <w:jc w:val="both"/>
              <w:rPr>
                <w:lang w:eastAsia="en-US"/>
              </w:rPr>
            </w:pPr>
            <w:r>
              <w:rPr>
                <w:lang w:eastAsia="en-US"/>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p>
          <w:p w:rsidR="008D72CC" w:rsidRDefault="008D72CC">
            <w:pPr>
              <w:spacing w:line="276" w:lineRule="auto"/>
              <w:ind w:left="4" w:right="119"/>
              <w:jc w:val="both"/>
              <w:rPr>
                <w:lang w:eastAsia="en-US"/>
              </w:rPr>
            </w:pPr>
          </w:p>
          <w:p w:rsidR="008D72CC" w:rsidRDefault="008D72CC">
            <w:pPr>
              <w:spacing w:line="276" w:lineRule="auto"/>
              <w:ind w:left="4" w:right="119"/>
              <w:jc w:val="both"/>
              <w:rPr>
                <w:lang w:eastAsia="en-US"/>
              </w:rPr>
            </w:pPr>
            <w:r>
              <w:rPr>
                <w:lang w:eastAsia="en-US"/>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Tarifenin Birinci Kısmına göre karşılanır. Adalet Bakanlığı bütçesinden ödenen ve taraflarca karşılanan arabuluculuk ücreti, yargılama giderlerinden sayılır </w:t>
            </w:r>
            <w:proofErr w:type="gramStart"/>
            <w:r>
              <w:rPr>
                <w:lang w:eastAsia="en-US"/>
              </w:rPr>
              <w:t>(</w:t>
            </w:r>
            <w:proofErr w:type="gramEnd"/>
          </w:p>
          <w:p w:rsidR="008D72CC" w:rsidRDefault="008D72CC">
            <w:pPr>
              <w:spacing w:line="276" w:lineRule="auto"/>
              <w:ind w:left="4" w:right="119"/>
              <w:jc w:val="both"/>
              <w:rPr>
                <w:lang w:eastAsia="en-US"/>
              </w:rPr>
            </w:pPr>
            <w:r>
              <w:rPr>
                <w:lang w:eastAsia="en-US"/>
              </w:rPr>
              <w:t>Arabuluculuk görüşmelerine taraflar bizzat, kanuni temsilcileri veya avukatları aracılığıyla katılabilirler. İşverenin yazılı belgeyle yetkilendirdiği çalışanı da görüşmelerde işvereni temsil edebilir ve son tutanağı imzalayabilir.</w:t>
            </w:r>
          </w:p>
          <w:p w:rsidR="008D72CC" w:rsidRDefault="008D72CC">
            <w:pPr>
              <w:spacing w:after="499" w:line="276" w:lineRule="auto"/>
              <w:ind w:left="4" w:right="119"/>
              <w:jc w:val="both"/>
              <w:rPr>
                <w:lang w:eastAsia="en-US"/>
              </w:rPr>
            </w:pPr>
            <w:r>
              <w:rPr>
                <w:lang w:eastAsia="en-US"/>
              </w:rPr>
              <w:t xml:space="preserve">Arabuluculuk görüşmeleri, taraflarca aksi kararlaştırılmadıkça, arabulucuyu görevlendiren büronun bağlı bulunduğu adli yargı ilk derece mahkemesi adalet komisyonunun yetki alanı İçinde yürütülür </w:t>
            </w:r>
          </w:p>
          <w:p w:rsidR="008D72CC" w:rsidRDefault="008D72CC">
            <w:pPr>
              <w:spacing w:after="499" w:line="276" w:lineRule="auto"/>
              <w:ind w:left="4" w:right="119"/>
              <w:jc w:val="both"/>
              <w:rPr>
                <w:lang w:eastAsia="en-US"/>
              </w:rPr>
            </w:pPr>
            <w:r>
              <w:rPr>
                <w:lang w:eastAsia="en-US"/>
              </w:rPr>
              <w:t>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w:t>
            </w:r>
          </w:p>
          <w:p w:rsidR="008D72CC" w:rsidRDefault="008D72CC">
            <w:pPr>
              <w:spacing w:after="137" w:line="276" w:lineRule="auto"/>
              <w:ind w:left="4" w:right="119"/>
              <w:jc w:val="both"/>
              <w:rPr>
                <w:lang w:eastAsia="en-US"/>
              </w:rPr>
            </w:pPr>
            <w:r>
              <w:rPr>
                <w:lang w:eastAsia="en-US"/>
              </w:rPr>
              <w:t>Arabuluculuk sürecinin daha verimli geçmesi İçin, arabuluculukla ilgili şu hususları bilgilerinize sunmak İsterim:</w:t>
            </w:r>
          </w:p>
          <w:p w:rsidR="008D72CC" w:rsidRDefault="008D72CC" w:rsidP="00984442">
            <w:pPr>
              <w:numPr>
                <w:ilvl w:val="0"/>
                <w:numId w:val="1"/>
              </w:numPr>
              <w:spacing w:after="77" w:line="247" w:lineRule="auto"/>
              <w:ind w:right="119" w:firstLine="720"/>
              <w:jc w:val="both"/>
              <w:rPr>
                <w:lang w:eastAsia="en-US"/>
              </w:rPr>
            </w:pPr>
            <w:r>
              <w:rPr>
                <w:lang w:eastAsia="en-US"/>
              </w:rPr>
              <w:t>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 bulunabilir.</w:t>
            </w:r>
          </w:p>
          <w:p w:rsidR="008D72CC" w:rsidRDefault="008D72CC" w:rsidP="00984442">
            <w:pPr>
              <w:numPr>
                <w:ilvl w:val="0"/>
                <w:numId w:val="1"/>
              </w:numPr>
              <w:spacing w:after="128" w:line="247" w:lineRule="auto"/>
              <w:ind w:right="119" w:firstLine="720"/>
              <w:jc w:val="both"/>
              <w:rPr>
                <w:lang w:eastAsia="en-US"/>
              </w:rPr>
            </w:pPr>
            <w:r>
              <w:rPr>
                <w:lang w:eastAsia="en-US"/>
              </w:rPr>
              <w:t>Arabuluculuk yoluyla uyuşmazlığın çözümü gönüllülük esasına dayalıdır. Taraflar, süreci devam ettirmek, sonuçlandırmak veya bu süreçten vazgeçmek konusunda serbesttirler.</w:t>
            </w:r>
          </w:p>
          <w:p w:rsidR="008D72CC" w:rsidRDefault="008D72CC" w:rsidP="008D72CC">
            <w:pPr>
              <w:numPr>
                <w:ilvl w:val="0"/>
                <w:numId w:val="1"/>
              </w:numPr>
              <w:spacing w:after="492" w:line="276" w:lineRule="auto"/>
              <w:ind w:right="119" w:firstLine="720"/>
              <w:jc w:val="both"/>
              <w:rPr>
                <w:lang w:eastAsia="en-US"/>
              </w:rPr>
            </w:pPr>
            <w:r>
              <w:rPr>
                <w:lang w:eastAsia="en-US"/>
              </w:rPr>
              <w:t>Taraflarca aksi kararlaştırılmadıkça arabuluculuk görüşmelerinde gizlilik ilkesine uyulması esastır.</w:t>
            </w:r>
          </w:p>
          <w:p w:rsidR="008D72CC" w:rsidRDefault="008D72CC" w:rsidP="008D72CC">
            <w:pPr>
              <w:spacing w:after="492" w:line="276" w:lineRule="auto"/>
              <w:ind w:left="4" w:right="119"/>
              <w:jc w:val="both"/>
              <w:rPr>
                <w:lang w:eastAsia="en-US"/>
              </w:rPr>
            </w:pPr>
            <w:r w:rsidRPr="008D72CC">
              <w:rPr>
                <w:sz w:val="28"/>
                <w:szCs w:val="28"/>
                <w:lang w:eastAsia="en-US"/>
              </w:rPr>
              <w:t xml:space="preserve">     </w:t>
            </w:r>
            <w:r>
              <w:rPr>
                <w:lang w:eastAsia="en-US"/>
              </w:rPr>
              <w:t>5302 Sayılı yasanın 18.maddesi olan Denetim ve Bilgi edinme hükümleri kapsamında yapılan çalışma İl Genel Meclisinin bilgilerine arz olunur.</w:t>
            </w:r>
          </w:p>
          <w:p w:rsidR="008D72CC" w:rsidRPr="008D72CC" w:rsidRDefault="008D72CC">
            <w:pPr>
              <w:spacing w:line="276" w:lineRule="auto"/>
              <w:jc w:val="both"/>
              <w:rPr>
                <w:lang w:eastAsia="en-US"/>
              </w:rPr>
            </w:pPr>
            <w:r>
              <w:rPr>
                <w:lang w:eastAsia="en-US"/>
              </w:rPr>
              <w:t xml:space="preserve">   </w:t>
            </w:r>
            <w:r w:rsidRPr="008D72CC">
              <w:rPr>
                <w:lang w:eastAsia="en-US"/>
              </w:rPr>
              <w:t xml:space="preserve">Tarık KAYA                             Harun OĞUZ                                    Azmi ÖZKAN           </w:t>
            </w:r>
          </w:p>
          <w:p w:rsidR="008D72CC" w:rsidRPr="008D72CC" w:rsidRDefault="008D72CC">
            <w:pPr>
              <w:spacing w:line="276" w:lineRule="auto"/>
              <w:jc w:val="both"/>
              <w:rPr>
                <w:lang w:eastAsia="en-US"/>
              </w:rPr>
            </w:pPr>
            <w:r w:rsidRPr="008D72CC">
              <w:rPr>
                <w:lang w:eastAsia="en-US"/>
              </w:rPr>
              <w:t xml:space="preserve">   Komisyon Başkanı                    Başkan Vekili                                    Sözcü</w:t>
            </w:r>
          </w:p>
          <w:p w:rsidR="008D72CC" w:rsidRDefault="008D72CC">
            <w:pPr>
              <w:spacing w:line="276" w:lineRule="auto"/>
              <w:jc w:val="both"/>
              <w:rPr>
                <w:lang w:eastAsia="en-US"/>
              </w:rPr>
            </w:pPr>
          </w:p>
          <w:p w:rsidR="008D72CC" w:rsidRPr="008D72CC" w:rsidRDefault="008D72CC">
            <w:pPr>
              <w:spacing w:line="276" w:lineRule="auto"/>
              <w:jc w:val="both"/>
              <w:rPr>
                <w:lang w:eastAsia="en-US"/>
              </w:rPr>
            </w:pPr>
          </w:p>
          <w:p w:rsidR="008D72CC" w:rsidRPr="008D72CC" w:rsidRDefault="008D72CC">
            <w:pPr>
              <w:spacing w:line="276" w:lineRule="auto"/>
              <w:jc w:val="both"/>
              <w:rPr>
                <w:lang w:eastAsia="en-US"/>
              </w:rPr>
            </w:pPr>
          </w:p>
          <w:p w:rsidR="008D72CC" w:rsidRPr="008D72CC" w:rsidRDefault="008D72CC">
            <w:pPr>
              <w:spacing w:line="276" w:lineRule="auto"/>
              <w:jc w:val="both"/>
              <w:rPr>
                <w:lang w:eastAsia="en-US"/>
              </w:rPr>
            </w:pPr>
            <w:r w:rsidRPr="008D72CC">
              <w:rPr>
                <w:lang w:eastAsia="en-US"/>
              </w:rPr>
              <w:t xml:space="preserve">    </w:t>
            </w:r>
            <w:proofErr w:type="spellStart"/>
            <w:r w:rsidRPr="008D72CC">
              <w:rPr>
                <w:lang w:eastAsia="en-US"/>
              </w:rPr>
              <w:t>M.Kürşad</w:t>
            </w:r>
            <w:proofErr w:type="spellEnd"/>
            <w:r w:rsidRPr="008D72CC">
              <w:rPr>
                <w:lang w:eastAsia="en-US"/>
              </w:rPr>
              <w:t xml:space="preserve"> ÇİÇEK                                                                          Nuri KÖKSOY</w:t>
            </w:r>
          </w:p>
          <w:p w:rsidR="008D72CC" w:rsidRDefault="008D72CC" w:rsidP="008D72CC">
            <w:pPr>
              <w:spacing w:line="276" w:lineRule="auto"/>
              <w:jc w:val="both"/>
              <w:rPr>
                <w:lang w:eastAsia="en-US"/>
              </w:rPr>
            </w:pPr>
            <w:r w:rsidRPr="008D72CC">
              <w:rPr>
                <w:lang w:eastAsia="en-US"/>
              </w:rPr>
              <w:t xml:space="preserve">       Üye                                                                                                     </w:t>
            </w:r>
            <w:proofErr w:type="spellStart"/>
            <w:r w:rsidRPr="008D72CC">
              <w:rPr>
                <w:lang w:eastAsia="en-US"/>
              </w:rPr>
              <w:t>Üye</w:t>
            </w:r>
            <w:proofErr w:type="spellEnd"/>
          </w:p>
          <w:p w:rsidR="008D72CC" w:rsidRDefault="008D72CC" w:rsidP="008D72CC">
            <w:pPr>
              <w:spacing w:line="276" w:lineRule="auto"/>
              <w:jc w:val="both"/>
              <w:rPr>
                <w:lang w:eastAsia="en-US"/>
              </w:rPr>
            </w:pPr>
            <w:bookmarkStart w:id="0" w:name="_GoBack"/>
            <w:bookmarkEnd w:id="0"/>
          </w:p>
        </w:tc>
      </w:tr>
    </w:tbl>
    <w:p w:rsidR="00CF066A" w:rsidRDefault="00CF066A"/>
    <w:sectPr w:rsidR="00CF066A" w:rsidSect="008D72CC">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8D6"/>
    <w:multiLevelType w:val="hybridMultilevel"/>
    <w:tmpl w:val="08305650"/>
    <w:lvl w:ilvl="0" w:tplc="D5A600AE">
      <w:start w:val="1"/>
      <w:numFmt w:val="lowerLetter"/>
      <w:lvlText w:val="%1)"/>
      <w:lvlJc w:val="left"/>
      <w:pPr>
        <w:ind w:left="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49CF94C">
      <w:start w:val="1"/>
      <w:numFmt w:val="lowerLetter"/>
      <w:lvlText w:val="%2"/>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422B42C">
      <w:start w:val="1"/>
      <w:numFmt w:val="lowerRoman"/>
      <w:lvlText w:val="%3"/>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32364C">
      <w:start w:val="1"/>
      <w:numFmt w:val="decimal"/>
      <w:lvlText w:val="%4"/>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A2C46B2">
      <w:start w:val="1"/>
      <w:numFmt w:val="lowerLetter"/>
      <w:lvlText w:val="%5"/>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67EDBB2">
      <w:start w:val="1"/>
      <w:numFmt w:val="lowerRoman"/>
      <w:lvlText w:val="%6"/>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DDDA7408">
      <w:start w:val="1"/>
      <w:numFmt w:val="decimal"/>
      <w:lvlText w:val="%7"/>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FB0CB368">
      <w:start w:val="1"/>
      <w:numFmt w:val="lowerLetter"/>
      <w:lvlText w:val="%8"/>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2318CEFE">
      <w:start w:val="1"/>
      <w:numFmt w:val="lowerRoman"/>
      <w:lvlText w:val="%9"/>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B8D"/>
    <w:rsid w:val="008D72CC"/>
    <w:rsid w:val="00CF066A"/>
    <w:rsid w:val="00F70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D72C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D72C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2020-01-27T11:10:00Z</dcterms:created>
  <dcterms:modified xsi:type="dcterms:W3CDTF">2020-01-27T11:11:00Z</dcterms:modified>
</cp:coreProperties>
</file>