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C3" w:rsidRPr="0089791D" w:rsidRDefault="00AC78C3" w:rsidP="00AC78C3">
      <w:pPr>
        <w:tabs>
          <w:tab w:val="left" w:pos="3285"/>
        </w:tabs>
        <w:jc w:val="center"/>
        <w:rPr>
          <w:b/>
          <w:sz w:val="22"/>
          <w:szCs w:val="22"/>
        </w:rPr>
      </w:pPr>
      <w:r w:rsidRPr="0089791D">
        <w:rPr>
          <w:b/>
          <w:sz w:val="22"/>
          <w:szCs w:val="22"/>
        </w:rPr>
        <w:t>T.C.</w:t>
      </w:r>
    </w:p>
    <w:p w:rsidR="00AC78C3" w:rsidRPr="0089791D" w:rsidRDefault="00AC78C3" w:rsidP="00AC78C3">
      <w:pPr>
        <w:tabs>
          <w:tab w:val="left" w:pos="3285"/>
        </w:tabs>
        <w:jc w:val="center"/>
        <w:rPr>
          <w:b/>
          <w:sz w:val="22"/>
          <w:szCs w:val="22"/>
        </w:rPr>
      </w:pPr>
      <w:r w:rsidRPr="0089791D">
        <w:rPr>
          <w:b/>
          <w:sz w:val="22"/>
          <w:szCs w:val="22"/>
        </w:rPr>
        <w:t>KIRIKKALE İL ÖZEL İDARESİ</w:t>
      </w:r>
    </w:p>
    <w:p w:rsidR="00AC78C3" w:rsidRPr="0089791D" w:rsidRDefault="00AC78C3" w:rsidP="00AC78C3">
      <w:pPr>
        <w:tabs>
          <w:tab w:val="left" w:pos="3285"/>
        </w:tabs>
        <w:jc w:val="center"/>
        <w:rPr>
          <w:b/>
          <w:sz w:val="22"/>
          <w:szCs w:val="22"/>
        </w:rPr>
      </w:pPr>
      <w:r w:rsidRPr="0089791D">
        <w:rPr>
          <w:b/>
          <w:sz w:val="22"/>
          <w:szCs w:val="22"/>
        </w:rPr>
        <w:t xml:space="preserve">İL GENEL MECLİSİ </w:t>
      </w:r>
    </w:p>
    <w:p w:rsidR="003805DC" w:rsidRPr="0089791D" w:rsidRDefault="00AC78C3" w:rsidP="00AC78C3">
      <w:pPr>
        <w:tabs>
          <w:tab w:val="left" w:pos="3285"/>
        </w:tabs>
        <w:jc w:val="center"/>
        <w:rPr>
          <w:b/>
          <w:sz w:val="22"/>
          <w:szCs w:val="22"/>
        </w:rPr>
      </w:pPr>
      <w:r w:rsidRPr="0089791D">
        <w:rPr>
          <w:b/>
          <w:sz w:val="22"/>
          <w:szCs w:val="22"/>
        </w:rPr>
        <w:t>PLAN VE BÜTÇE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AC78C3" w:rsidRPr="0089791D" w:rsidTr="00AC78C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C3" w:rsidRPr="0089791D" w:rsidRDefault="00AC78C3" w:rsidP="006B69A0">
            <w:pPr>
              <w:pStyle w:val="stbilgi"/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C3" w:rsidRPr="0089791D" w:rsidRDefault="00AC78C3" w:rsidP="006B69A0">
            <w:pPr>
              <w:pStyle w:val="stbilgi"/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Yılmaz CEBECİ</w:t>
            </w:r>
          </w:p>
        </w:tc>
      </w:tr>
      <w:tr w:rsidR="00AC78C3" w:rsidRPr="0089791D" w:rsidTr="00AC78C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C3" w:rsidRPr="0089791D" w:rsidRDefault="00AC78C3" w:rsidP="006B69A0">
            <w:pPr>
              <w:pStyle w:val="stbilgi"/>
              <w:rPr>
                <w:b/>
                <w:sz w:val="22"/>
                <w:szCs w:val="22"/>
              </w:rPr>
            </w:pPr>
            <w:proofErr w:type="gramStart"/>
            <w:r w:rsidRPr="0089791D"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C3" w:rsidRPr="0089791D" w:rsidRDefault="00AC78C3" w:rsidP="006B69A0">
            <w:pPr>
              <w:pStyle w:val="stbilgi"/>
              <w:rPr>
                <w:b/>
                <w:sz w:val="22"/>
                <w:szCs w:val="22"/>
              </w:rPr>
            </w:pPr>
            <w:proofErr w:type="spellStart"/>
            <w:r w:rsidRPr="0089791D">
              <w:rPr>
                <w:b/>
                <w:sz w:val="22"/>
                <w:szCs w:val="22"/>
              </w:rPr>
              <w:t>H.Ömer</w:t>
            </w:r>
            <w:proofErr w:type="spellEnd"/>
            <w:r w:rsidRPr="0089791D">
              <w:rPr>
                <w:b/>
                <w:sz w:val="22"/>
                <w:szCs w:val="22"/>
              </w:rPr>
              <w:t xml:space="preserve"> ÖRSDEMİR</w:t>
            </w:r>
          </w:p>
        </w:tc>
      </w:tr>
      <w:tr w:rsidR="00AC78C3" w:rsidRPr="0089791D" w:rsidTr="00AC78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C3" w:rsidRPr="0089791D" w:rsidRDefault="00AC78C3" w:rsidP="006B69A0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C3" w:rsidRPr="0089791D" w:rsidRDefault="00AC78C3" w:rsidP="006B69A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Ferit OLUK, Mustafa GÜNDÜZ, Hasan ÇOBAN, Ahmet DEMİRBİLEK</w:t>
            </w:r>
          </w:p>
        </w:tc>
      </w:tr>
      <w:tr w:rsidR="00AC78C3" w:rsidRPr="0089791D" w:rsidTr="007E3511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C3" w:rsidRPr="0089791D" w:rsidRDefault="00AC78C3" w:rsidP="006B69A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C3" w:rsidRPr="0089791D" w:rsidRDefault="007E3511" w:rsidP="006B69A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Bölümler arası aktarma yapılması</w:t>
            </w:r>
          </w:p>
        </w:tc>
      </w:tr>
      <w:tr w:rsidR="00AC78C3" w:rsidRPr="0089791D" w:rsidTr="007E3511">
        <w:trPr>
          <w:trHeight w:val="2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C3" w:rsidRPr="0089791D" w:rsidRDefault="00AC78C3" w:rsidP="006B69A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C3" w:rsidRPr="0089791D" w:rsidRDefault="007E3511" w:rsidP="007E3511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14</w:t>
            </w:r>
            <w:r w:rsidR="00AC78C3" w:rsidRPr="0089791D">
              <w:rPr>
                <w:b/>
                <w:sz w:val="22"/>
                <w:szCs w:val="22"/>
              </w:rPr>
              <w:t>.1</w:t>
            </w:r>
            <w:r w:rsidRPr="0089791D">
              <w:rPr>
                <w:b/>
                <w:sz w:val="22"/>
                <w:szCs w:val="22"/>
              </w:rPr>
              <w:t>1</w:t>
            </w:r>
            <w:r w:rsidR="00AC78C3" w:rsidRPr="0089791D">
              <w:rPr>
                <w:b/>
                <w:sz w:val="22"/>
                <w:szCs w:val="22"/>
              </w:rPr>
              <w:t>.2018</w:t>
            </w:r>
          </w:p>
        </w:tc>
      </w:tr>
      <w:tr w:rsidR="00AC78C3" w:rsidRPr="0089791D" w:rsidTr="00AC78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C3" w:rsidRPr="0089791D" w:rsidRDefault="00AC78C3" w:rsidP="006B69A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C3" w:rsidRPr="0089791D" w:rsidRDefault="007E3511" w:rsidP="007E3511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89791D">
              <w:rPr>
                <w:b/>
                <w:sz w:val="22"/>
                <w:szCs w:val="22"/>
              </w:rPr>
              <w:t>15</w:t>
            </w:r>
            <w:r w:rsidR="00AC78C3" w:rsidRPr="0089791D">
              <w:rPr>
                <w:b/>
                <w:sz w:val="22"/>
                <w:szCs w:val="22"/>
              </w:rPr>
              <w:t>.1</w:t>
            </w:r>
            <w:r w:rsidRPr="0089791D">
              <w:rPr>
                <w:b/>
                <w:sz w:val="22"/>
                <w:szCs w:val="22"/>
              </w:rPr>
              <w:t>1.2018</w:t>
            </w:r>
          </w:p>
        </w:tc>
      </w:tr>
    </w:tbl>
    <w:p w:rsidR="00AC78C3" w:rsidRPr="0089791D" w:rsidRDefault="00AC78C3" w:rsidP="00AC78C3">
      <w:pPr>
        <w:tabs>
          <w:tab w:val="left" w:pos="3285"/>
        </w:tabs>
        <w:jc w:val="center"/>
        <w:rPr>
          <w:b/>
        </w:rPr>
      </w:pPr>
      <w:r w:rsidRPr="0089791D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AC78C3" w:rsidRPr="003805DC" w:rsidTr="00AC78C3">
        <w:trPr>
          <w:trHeight w:val="646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C3" w:rsidRPr="003805DC" w:rsidRDefault="00AC78C3" w:rsidP="006B69A0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 w:rsidRPr="003805DC">
              <w:rPr>
                <w:sz w:val="22"/>
                <w:szCs w:val="22"/>
              </w:rPr>
              <w:t xml:space="preserve"> </w:t>
            </w:r>
          </w:p>
          <w:p w:rsidR="007E3511" w:rsidRPr="003805DC" w:rsidRDefault="00AC78C3" w:rsidP="007E3511">
            <w:pPr>
              <w:jc w:val="both"/>
            </w:pPr>
            <w:r w:rsidRPr="003805DC">
              <w:t xml:space="preserve">    </w:t>
            </w:r>
            <w:r w:rsidR="007E3511" w:rsidRPr="003805DC">
              <w:t xml:space="preserve">İl Özel İdaresi Mali Hizmetler Müdürlüğü </w:t>
            </w:r>
            <w:r w:rsidR="007E3511" w:rsidRPr="003805DC">
              <w:t>14</w:t>
            </w:r>
            <w:r w:rsidR="007E3511" w:rsidRPr="003805DC">
              <w:t>.11.201</w:t>
            </w:r>
            <w:r w:rsidR="007E3511" w:rsidRPr="003805DC">
              <w:t>8</w:t>
            </w:r>
            <w:r w:rsidR="007E3511" w:rsidRPr="003805DC">
              <w:t xml:space="preserve"> tarih ve </w:t>
            </w:r>
            <w:r w:rsidR="007E3511" w:rsidRPr="003805DC">
              <w:t>7212</w:t>
            </w:r>
            <w:r w:rsidR="007E3511" w:rsidRPr="003805DC">
              <w:t xml:space="preserve"> sayılı yazılarında ödenek üstü harcamaya mahal verilmemesi için 201</w:t>
            </w:r>
            <w:r w:rsidR="007E3511" w:rsidRPr="003805DC">
              <w:t>8</w:t>
            </w:r>
            <w:r w:rsidR="007E3511" w:rsidRPr="003805DC">
              <w:t xml:space="preserve"> yılı bütçe bölümleri arasında aktarma yapılmasını istemiş, teklif gündeme alındıktan sonra Komisyonumuza havale edilmiştir. Komisyonumuz </w:t>
            </w:r>
            <w:r w:rsidR="003F495F" w:rsidRPr="003805DC">
              <w:t>16 Kasım 2018 – 22 Kasım 2018</w:t>
            </w:r>
            <w:r w:rsidR="007E3511" w:rsidRPr="003805DC">
              <w:t xml:space="preserve"> tarihleri</w:t>
            </w:r>
            <w:r w:rsidR="003F495F" w:rsidRPr="003805DC">
              <w:t xml:space="preserve"> arasında 3 gün </w:t>
            </w:r>
            <w:r w:rsidR="007E3511" w:rsidRPr="003805DC">
              <w:t>toplanarak çalışmasını tamamlamıştır.</w:t>
            </w:r>
          </w:p>
          <w:p w:rsidR="007E3511" w:rsidRPr="003805DC" w:rsidRDefault="007E3511" w:rsidP="007E3511">
            <w:pPr>
              <w:jc w:val="both"/>
            </w:pPr>
            <w:r w:rsidRPr="003805DC">
              <w:t xml:space="preserve">     </w:t>
            </w:r>
            <w:r w:rsidRPr="003805DC">
              <w:t>201</w:t>
            </w:r>
            <w:r w:rsidR="003F495F" w:rsidRPr="003805DC">
              <w:t>8</w:t>
            </w:r>
            <w:r w:rsidRPr="003805DC">
              <w:t xml:space="preserve"> Yılı bütçe çalışmalarında, ihtiyaç ve planlamalar dikkate alınarak bütçenin birimler ve bölümler arası dağılımı yapılmış, ancak yıl içinde meydana gelen acil ihtiyaçlar ve planlamalarda olmayan</w:t>
            </w:r>
            <w:r w:rsidR="003F495F" w:rsidRPr="003805DC">
              <w:t>,</w:t>
            </w:r>
            <w:r w:rsidRPr="003805DC">
              <w:t xml:space="preserve"> yapımı hayati önem arz eden hizmetler</w:t>
            </w:r>
            <w:r w:rsidR="003F495F" w:rsidRPr="003805DC">
              <w:t>in</w:t>
            </w:r>
            <w:r w:rsidRPr="003805DC">
              <w:t xml:space="preserve"> uygulanmaya konması nedeniyle bazı bölümlerde ödeneğe ihtiyaç duyulmuştur. Ödenek üstü harcama yapılmaması için yıl sonuna kadar kullanılma </w:t>
            </w:r>
            <w:proofErr w:type="gramStart"/>
            <w:r w:rsidRPr="003805DC">
              <w:t>imkanı</w:t>
            </w:r>
            <w:proofErr w:type="gramEnd"/>
            <w:r w:rsidRPr="003805DC">
              <w:t xml:space="preserve"> olmayan bölümlerdeki ödenekl</w:t>
            </w:r>
            <w:r w:rsidR="003F495F" w:rsidRPr="003805DC">
              <w:t>erin, ihtiyaç olan bölümlere aktarma yapılması</w:t>
            </w:r>
            <w:r w:rsidR="003666DA" w:rsidRPr="003805DC">
              <w:t xml:space="preserve">na </w:t>
            </w:r>
            <w:r w:rsidR="003F495F" w:rsidRPr="003805DC">
              <w:t>gerek</w:t>
            </w:r>
            <w:r w:rsidR="003666DA" w:rsidRPr="003805DC">
              <w:t xml:space="preserve"> duyulmuştur. </w:t>
            </w:r>
            <w:r w:rsidR="003F495F" w:rsidRPr="003805DC">
              <w:t xml:space="preserve">Buna göre; </w:t>
            </w:r>
          </w:p>
          <w:p w:rsidR="003805DC" w:rsidRPr="003805DC" w:rsidRDefault="003805DC" w:rsidP="007E3511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 w:rsidRPr="003805DC">
              <w:rPr>
                <w:sz w:val="22"/>
                <w:szCs w:val="22"/>
              </w:rPr>
              <w:t xml:space="preserve">     </w:t>
            </w:r>
            <w:r w:rsidR="00AC78C3" w:rsidRPr="003805DC">
              <w:rPr>
                <w:sz w:val="22"/>
                <w:szCs w:val="22"/>
              </w:rPr>
              <w:t xml:space="preserve">    </w:t>
            </w:r>
          </w:p>
          <w:tbl>
            <w:tblPr>
              <w:tblW w:w="9160" w:type="dxa"/>
              <w:tblInd w:w="3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417"/>
              <w:gridCol w:w="679"/>
              <w:gridCol w:w="983"/>
              <w:gridCol w:w="2222"/>
              <w:gridCol w:w="1271"/>
              <w:gridCol w:w="1217"/>
            </w:tblGrid>
            <w:tr w:rsidR="0089791D" w:rsidRPr="0089791D" w:rsidTr="0089791D">
              <w:trPr>
                <w:trHeight w:val="390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Kurumsal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Fonksiyonel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Finans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Ekonomik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AyrintiAdi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EKLENEN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EKSİLEN</w:t>
                  </w:r>
                </w:p>
              </w:tc>
            </w:tr>
            <w:tr w:rsidR="0089791D" w:rsidRPr="0089791D" w:rsidTr="0089791D">
              <w:trPr>
                <w:trHeight w:val="49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01.1.1.00.000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03.08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Gayrimenkul Mal Bakım Ve Onarım Giderleri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44.500,00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791D" w:rsidRPr="0089791D" w:rsidRDefault="0089791D" w:rsidP="008979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9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9791D" w:rsidRPr="0089791D" w:rsidTr="0089791D">
              <w:trPr>
                <w:trHeight w:val="270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02.2.0.00.000</w:t>
                  </w:r>
                </w:p>
              </w:tc>
              <w:tc>
                <w:tcPr>
                  <w:tcW w:w="6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06.01</w:t>
                  </w:r>
                </w:p>
              </w:tc>
              <w:tc>
                <w:tcPr>
                  <w:tcW w:w="222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Mamul Mal Alımları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406.396,00</w:t>
                  </w:r>
                </w:p>
              </w:tc>
            </w:tr>
            <w:tr w:rsidR="0089791D" w:rsidRPr="0089791D" w:rsidTr="0089791D">
              <w:trPr>
                <w:trHeight w:val="270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44.71.01.03.00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10.4.0.00.000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03.05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Hizmet Alımları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7.500,00</w:t>
                  </w:r>
                </w:p>
              </w:tc>
            </w:tr>
            <w:tr w:rsidR="0089791D" w:rsidRPr="0089791D" w:rsidTr="0089791D">
              <w:trPr>
                <w:trHeight w:val="49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06.3.0.05.000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06.05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KÖPRÜKÖY SULAMA SUYU KANAL TESİSİ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30.000,00</w:t>
                  </w:r>
                </w:p>
              </w:tc>
            </w:tr>
            <w:tr w:rsidR="0089791D" w:rsidRPr="0089791D" w:rsidTr="0089791D">
              <w:trPr>
                <w:trHeight w:val="49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06.3.0.05.000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06.07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KÖPRÜKÖY SULAMA SUYU KANAL TESİSİ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40.000,00</w:t>
                  </w:r>
                </w:p>
              </w:tc>
            </w:tr>
            <w:tr w:rsidR="0089791D" w:rsidRPr="0089791D" w:rsidTr="0089791D">
              <w:trPr>
                <w:trHeight w:val="73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44.71.01.05.00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05.03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Kar Amacı Gütmeyen Kuruluşlara Yapılan Transferler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3.000,00</w:t>
                  </w:r>
                </w:p>
              </w:tc>
            </w:tr>
            <w:tr w:rsidR="0089791D" w:rsidRPr="0089791D" w:rsidTr="0089791D">
              <w:trPr>
                <w:trHeight w:val="720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44.71.01.06.00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05.2.0.01.000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06.05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KANALİZASYON TESİSİ YAPIM BAKIM VE ONARIMLARI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20.000,00</w:t>
                  </w:r>
                </w:p>
              </w:tc>
            </w:tr>
            <w:tr w:rsidR="0089791D" w:rsidRPr="0089791D" w:rsidTr="0089791D">
              <w:trPr>
                <w:trHeight w:val="480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44.71.01.06.00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06.3.0.01.000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06.05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İÇME SUYU TESİSİ YAPIMI BAKIMI VE ONARIMLARI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791D" w:rsidRPr="0089791D" w:rsidRDefault="0089791D" w:rsidP="008979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9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9791D" w:rsidRPr="0089791D" w:rsidTr="0089791D">
              <w:trPr>
                <w:trHeight w:val="480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44.71.01.33.00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10.7.0.00.000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05.04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Hane Halkına Yapılan Transferler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50.000,00</w:t>
                  </w:r>
                </w:p>
              </w:tc>
            </w:tr>
            <w:tr w:rsidR="0089791D" w:rsidRPr="0089791D" w:rsidTr="0089791D">
              <w:trPr>
                <w:trHeight w:val="25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01.1.2.00.000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05.08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Gelirlerden Ayrılan Paylar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89.625,71</w:t>
                  </w:r>
                </w:p>
              </w:tc>
            </w:tr>
            <w:tr w:rsidR="0089791D" w:rsidRPr="0089791D" w:rsidTr="0089791D">
              <w:trPr>
                <w:trHeight w:val="25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04.02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Diğer İç Borç Faiz Giderleri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724.170,71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791D" w:rsidRPr="0089791D" w:rsidRDefault="0089791D" w:rsidP="008979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91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9791D" w:rsidRPr="0089791D" w:rsidTr="0089791D">
              <w:trPr>
                <w:trHeight w:val="73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05.03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Kar Amacı Gütmeyen Kuruluşlara Yapılan Transferler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20.000,00</w:t>
                  </w:r>
                </w:p>
              </w:tc>
            </w:tr>
            <w:tr w:rsidR="0089791D" w:rsidRPr="0089791D" w:rsidTr="0089791D">
              <w:trPr>
                <w:trHeight w:val="270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01.6.0.00.000</w:t>
                  </w:r>
                </w:p>
              </w:tc>
              <w:tc>
                <w:tcPr>
                  <w:tcW w:w="6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07.01</w:t>
                  </w:r>
                </w:p>
              </w:tc>
              <w:tc>
                <w:tcPr>
                  <w:tcW w:w="222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Yurtiçi Sermaye Transferleri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70.000,00</w:t>
                  </w:r>
                </w:p>
              </w:tc>
            </w:tr>
            <w:tr w:rsidR="0089791D" w:rsidRPr="0089791D" w:rsidTr="0089791D">
              <w:trPr>
                <w:trHeight w:val="49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01.6.0.07.000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80808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05.04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4109 S.K.G. MUHTAÇ ASKER AİLESİNE YARDIM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39.149,00</w:t>
                  </w:r>
                </w:p>
              </w:tc>
            </w:tr>
            <w:tr w:rsidR="0089791D" w:rsidRPr="0089791D" w:rsidTr="0089791D">
              <w:trPr>
                <w:trHeight w:val="25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44.71.01.37.00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03.04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Görev Giderleri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6.000,00</w:t>
                  </w:r>
                </w:p>
              </w:tc>
            </w:tr>
            <w:tr w:rsidR="0089791D" w:rsidRPr="0089791D" w:rsidTr="0089791D">
              <w:trPr>
                <w:trHeight w:val="255"/>
              </w:trPr>
              <w:tc>
                <w:tcPr>
                  <w:tcW w:w="1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44.71.01.37.00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01.3.9.00.000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03.05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Hizmet Alımları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9791D" w:rsidRPr="0089791D" w:rsidRDefault="0089791D" w:rsidP="0089791D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7.000,00</w:t>
                  </w:r>
                </w:p>
              </w:tc>
            </w:tr>
            <w:tr w:rsidR="0089791D" w:rsidRPr="0089791D" w:rsidTr="0089791D">
              <w:trPr>
                <w:trHeight w:val="255"/>
              </w:trPr>
              <w:tc>
                <w:tcPr>
                  <w:tcW w:w="66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:rsidR="0089791D" w:rsidRPr="0089791D" w:rsidRDefault="0089791D" w:rsidP="0089791D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</w:t>
                  </w:r>
                  <w:r w:rsidRPr="0089791D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TOPLAM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89791D" w:rsidRPr="0089791D" w:rsidRDefault="0089791D" w:rsidP="0089791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979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788.670,71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89791D" w:rsidRPr="0089791D" w:rsidRDefault="0089791D" w:rsidP="0089791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979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788.670,71</w:t>
                  </w:r>
                </w:p>
              </w:tc>
            </w:tr>
          </w:tbl>
          <w:p w:rsidR="00AC78C3" w:rsidRPr="003805DC" w:rsidRDefault="00AC78C3" w:rsidP="007E3511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7E3511" w:rsidRPr="003805DC" w:rsidRDefault="007E3511" w:rsidP="007E3511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7E3511" w:rsidRPr="003805DC" w:rsidRDefault="007E3511" w:rsidP="007E3511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7E3511" w:rsidRPr="003805DC" w:rsidRDefault="007E3511" w:rsidP="007E3511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3805DC" w:rsidRDefault="003F495F" w:rsidP="003F495F">
            <w:pPr>
              <w:jc w:val="both"/>
              <w:rPr>
                <w:sz w:val="22"/>
                <w:szCs w:val="22"/>
              </w:rPr>
            </w:pPr>
            <w:r w:rsidRPr="003805DC">
              <w:rPr>
                <w:sz w:val="22"/>
                <w:szCs w:val="22"/>
              </w:rPr>
              <w:t xml:space="preserve">     </w:t>
            </w:r>
          </w:p>
          <w:p w:rsidR="003805DC" w:rsidRDefault="003805DC" w:rsidP="003F495F">
            <w:pPr>
              <w:jc w:val="both"/>
              <w:rPr>
                <w:sz w:val="22"/>
                <w:szCs w:val="22"/>
              </w:rPr>
            </w:pPr>
          </w:p>
          <w:p w:rsidR="003F495F" w:rsidRPr="003805DC" w:rsidRDefault="003805DC" w:rsidP="003F495F">
            <w:pPr>
              <w:jc w:val="both"/>
            </w:pPr>
            <w:r w:rsidRPr="003805DC">
              <w:t xml:space="preserve">       </w:t>
            </w:r>
            <w:r w:rsidR="003F495F" w:rsidRPr="003805DC">
              <w:t>İl Özel İdaresi 201</w:t>
            </w:r>
            <w:r w:rsidR="003F495F" w:rsidRPr="003805DC">
              <w:t>8</w:t>
            </w:r>
            <w:r w:rsidR="003F495F" w:rsidRPr="003805DC">
              <w:t xml:space="preserve"> yılı bütçe bölümlerinde ödenek üstü harcamaya mahal verilmemesi için </w:t>
            </w:r>
            <w:r w:rsidR="003F495F" w:rsidRPr="003805DC">
              <w:t>yılsonunda</w:t>
            </w:r>
            <w:r w:rsidR="003F495F" w:rsidRPr="003805DC">
              <w:t xml:space="preserve"> kadar harcanma ihtimali olmayan yukarıda açıklaması yapılan bölümlerdeki ödenekler arasında aktarma yapılmasına Komisyonumuzca oybirliğiyle karar verildi. </w:t>
            </w:r>
          </w:p>
          <w:p w:rsidR="007E3511" w:rsidRPr="003805DC" w:rsidRDefault="007E3511" w:rsidP="007E3511">
            <w:pPr>
              <w:pStyle w:val="ListeParagraf"/>
              <w:ind w:left="0"/>
              <w:jc w:val="both"/>
            </w:pP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  <w:r w:rsidRPr="003805DC">
              <w:t xml:space="preserve">      5302 Sayılı yasanın 16.Maddesi ve İl Genel Meclisi Çalışma Yönetmeliğinin 20.Maddesi kapsamında yapılan çalışma İl Genel Meclisinin takdirlerine arz olunur. </w:t>
            </w:r>
          </w:p>
          <w:p w:rsidR="00AC78C3" w:rsidRPr="003805DC" w:rsidRDefault="00AC78C3" w:rsidP="006B69A0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78C3" w:rsidRPr="003805DC" w:rsidTr="006B69A0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C3" w:rsidRPr="003805DC" w:rsidRDefault="00AC78C3" w:rsidP="006B69A0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  <w:r w:rsidRPr="003805DC">
              <w:t xml:space="preserve">Yılmaz CEBECİ               </w:t>
            </w:r>
            <w:proofErr w:type="spellStart"/>
            <w:r w:rsidRPr="003805DC">
              <w:t>H.Ömer</w:t>
            </w:r>
            <w:proofErr w:type="spellEnd"/>
            <w:r w:rsidRPr="003805DC">
              <w:t xml:space="preserve"> </w:t>
            </w:r>
            <w:proofErr w:type="gramStart"/>
            <w:r w:rsidRPr="003805DC">
              <w:t>ÖRSDEMİR            Hasan</w:t>
            </w:r>
            <w:proofErr w:type="gramEnd"/>
            <w:r w:rsidRPr="003805DC">
              <w:t xml:space="preserve"> ÇOBAN         Mustafa GÜNDÜZ     </w:t>
            </w: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  <w:r w:rsidRPr="003805DC">
              <w:t>Komisyon Başkanı                Başkan Vekili                         Sözcü                                  Üye</w:t>
            </w: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  <w:r w:rsidRPr="003805DC">
              <w:t xml:space="preserve">              </w:t>
            </w: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</w:p>
          <w:p w:rsidR="00AC78C3" w:rsidRPr="003805DC" w:rsidRDefault="00AC78C3" w:rsidP="006B69A0">
            <w:pPr>
              <w:pStyle w:val="ListeParagraf"/>
              <w:ind w:left="0"/>
            </w:pPr>
            <w:r w:rsidRPr="003805DC">
              <w:t xml:space="preserve">   Ferit OLUK                                                                                            Ahmet DEMİRBİLEK                                                                                                               </w:t>
            </w:r>
          </w:p>
          <w:p w:rsidR="00AC78C3" w:rsidRPr="003805DC" w:rsidRDefault="00AC78C3" w:rsidP="006B69A0">
            <w:pPr>
              <w:pStyle w:val="ListeParagraf"/>
              <w:ind w:left="0"/>
              <w:jc w:val="both"/>
            </w:pPr>
            <w:r w:rsidRPr="003805DC">
              <w:t xml:space="preserve">          Üye                                                                                                        </w:t>
            </w:r>
            <w:proofErr w:type="spellStart"/>
            <w:r w:rsidRPr="003805DC">
              <w:t>Üye</w:t>
            </w:r>
            <w:proofErr w:type="spellEnd"/>
            <w:r w:rsidRPr="003805DC">
              <w:t xml:space="preserve">                                                                       </w:t>
            </w:r>
          </w:p>
          <w:p w:rsidR="00AC78C3" w:rsidRPr="003805DC" w:rsidRDefault="00AC78C3" w:rsidP="006B69A0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AC78C3" w:rsidRPr="003805DC" w:rsidRDefault="00AC78C3" w:rsidP="006B69A0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1197" w:rsidRPr="003805DC" w:rsidRDefault="00631197">
      <w:pPr>
        <w:rPr>
          <w:sz w:val="22"/>
          <w:szCs w:val="22"/>
        </w:rPr>
      </w:pPr>
    </w:p>
    <w:sectPr w:rsidR="00631197" w:rsidRPr="003805DC" w:rsidSect="007E3511">
      <w:pgSz w:w="11906" w:h="16838"/>
      <w:pgMar w:top="42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D1"/>
    <w:rsid w:val="003666DA"/>
    <w:rsid w:val="003805DC"/>
    <w:rsid w:val="003F495F"/>
    <w:rsid w:val="00631197"/>
    <w:rsid w:val="007E3511"/>
    <w:rsid w:val="0089791D"/>
    <w:rsid w:val="00AC78C3"/>
    <w:rsid w:val="00E06DD7"/>
    <w:rsid w:val="00E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78C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C78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C78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nhideWhenUsed/>
    <w:rsid w:val="00AC78C3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DzMetinChar">
    <w:name w:val="Düz Metin Char"/>
    <w:basedOn w:val="VarsaylanParagrafYazTipi"/>
    <w:link w:val="DzMetin"/>
    <w:rsid w:val="00AC78C3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91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78C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C78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C78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nhideWhenUsed/>
    <w:rsid w:val="00AC78C3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DzMetinChar">
    <w:name w:val="Düz Metin Char"/>
    <w:basedOn w:val="VarsaylanParagrafYazTipi"/>
    <w:link w:val="DzMetin"/>
    <w:rsid w:val="00AC78C3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91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4</cp:revision>
  <cp:lastPrinted>2018-11-22T11:05:00Z</cp:lastPrinted>
  <dcterms:created xsi:type="dcterms:W3CDTF">2018-11-22T07:16:00Z</dcterms:created>
  <dcterms:modified xsi:type="dcterms:W3CDTF">2018-11-22T11:17:00Z</dcterms:modified>
</cp:coreProperties>
</file>