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E5" w:rsidRDefault="00C44EE5" w:rsidP="00C44EE5">
      <w:pPr>
        <w:jc w:val="center"/>
      </w:pPr>
      <w:r>
        <w:t>İL GENEL MECLİSİ BAŞKANLIĞINA</w:t>
      </w:r>
    </w:p>
    <w:p w:rsidR="00C44EE5" w:rsidRDefault="00C44EE5" w:rsidP="00C44EE5">
      <w:pPr>
        <w:jc w:val="center"/>
      </w:pPr>
      <w:r>
        <w:t>(Plan ve Bütçe Komisyon Raporu)</w:t>
      </w:r>
    </w:p>
    <w:p w:rsidR="00C44EE5" w:rsidRDefault="00C44EE5" w:rsidP="00C44EE5">
      <w:pPr>
        <w:jc w:val="center"/>
      </w:pPr>
    </w:p>
    <w:p w:rsidR="00C44EE5" w:rsidRDefault="00C44EE5" w:rsidP="00C44EE5">
      <w:pPr>
        <w:jc w:val="both"/>
      </w:pPr>
      <w:bookmarkStart w:id="0" w:name="_GoBack"/>
      <w:bookmarkEnd w:id="0"/>
      <w:r>
        <w:tab/>
        <w:t>İl Özel İdaresi Mali Hizmetler Müdürlüğü 28.04.2017 tarih ve2766 yazılarıyla; 2016 Yılı İl Özel İdaresi Kesin Hesabının görüşülmesini istemiştir. Talep gündeme alındıktan sonra Komisyonumuza havale edilmiş, Komisyonumuz 2-3-4 Mayıs 2017 tarihleri arasında toplanarak Kesin Hesap üzerindeki çalışmasını tamamlamıştır.</w:t>
      </w:r>
    </w:p>
    <w:p w:rsidR="00C44EE5" w:rsidRDefault="00C44EE5" w:rsidP="00C44EE5">
      <w:pPr>
        <w:jc w:val="both"/>
      </w:pPr>
      <w:r>
        <w:tab/>
        <w:t xml:space="preserve">İl Özel İdaresi öz kaynakları ile yapılan bütçe ve Merkezi İdareden aktarılan kaynaklarla, İl Özel İdaresi görev ve sorumluluk alanını giren hizmetlerin yürütülmesi sağlanmış, bu hizmetler için mevzuatlar kapsamında yapılan harcamaların, gelir, gider ve bütçe akışının aşağıdaki gibi olduğu görülmüştür. </w:t>
      </w:r>
    </w:p>
    <w:p w:rsidR="00C44EE5" w:rsidRDefault="00C44EE5" w:rsidP="00C44EE5">
      <w:pPr>
        <w:jc w:val="both"/>
      </w:pPr>
    </w:p>
    <w:tbl>
      <w:tblPr>
        <w:tblStyle w:val="TabloKlavuzu"/>
        <w:tblW w:w="0" w:type="auto"/>
        <w:tblLook w:val="04A0" w:firstRow="1" w:lastRow="0" w:firstColumn="1" w:lastColumn="0" w:noHBand="0" w:noVBand="1"/>
      </w:tblPr>
      <w:tblGrid>
        <w:gridCol w:w="6487"/>
        <w:gridCol w:w="3718"/>
      </w:tblGrid>
      <w:tr w:rsidR="00C44EE5" w:rsidRPr="00417C6E" w:rsidTr="00A42C90">
        <w:tc>
          <w:tcPr>
            <w:tcW w:w="10205" w:type="dxa"/>
            <w:gridSpan w:val="2"/>
          </w:tcPr>
          <w:p w:rsidR="00C44EE5" w:rsidRPr="006B10FC" w:rsidRDefault="00C44EE5" w:rsidP="00A42C90">
            <w:pPr>
              <w:pStyle w:val="Stil"/>
              <w:jc w:val="center"/>
              <w:rPr>
                <w:rFonts w:ascii="Times New Roman" w:hAnsi="Times New Roman" w:cs="Times New Roman"/>
              </w:rPr>
            </w:pPr>
          </w:p>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İL ÖZEL İDARESİ 2016 YILI KESİN HESABI</w:t>
            </w:r>
          </w:p>
          <w:p w:rsidR="00C44EE5" w:rsidRPr="006B10FC" w:rsidRDefault="00C44EE5" w:rsidP="00A42C90">
            <w:pPr>
              <w:pStyle w:val="Stil"/>
              <w:jc w:val="center"/>
              <w:rPr>
                <w:rFonts w:ascii="Times New Roman" w:hAnsi="Times New Roman" w:cs="Times New Roman"/>
              </w:rPr>
            </w:pP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GEÇEN YILDAN DEVREDEN ÖDENEK</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42.677.988.02.-</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BÜTÇE İLE VERİLEN ÖDENEK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40.000.000.00.-</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EK VE OLAĞAN ÜSTÜ ÖDENEK</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54.604.623.15.-</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AKTARMA SURETİYLE EKLENEN ÖDENEK</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+46.578.384.61.-</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AKTARMA SURETİYLE EKSİLEN ÖDENEK</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-46.578.384.61.-</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NET ÖDENEK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137.282.611.17.-</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p>
          <w:p w:rsidR="00C44EE5" w:rsidRPr="006B10FC" w:rsidRDefault="00C44EE5" w:rsidP="00A42C90">
            <w:pPr>
              <w:pStyle w:val="Stil"/>
              <w:rPr>
                <w:rFonts w:ascii="Times New Roman" w:hAnsi="Times New Roman" w:cs="Times New Roman"/>
              </w:rPr>
            </w:pPr>
          </w:p>
        </w:tc>
        <w:tc>
          <w:tcPr>
            <w:tcW w:w="3718" w:type="dxa"/>
          </w:tcPr>
          <w:p w:rsidR="00C44EE5" w:rsidRPr="006B10FC" w:rsidRDefault="00C44EE5" w:rsidP="00A42C90">
            <w:pPr>
              <w:pStyle w:val="Stil"/>
              <w:jc w:val="center"/>
              <w:rPr>
                <w:rFonts w:ascii="Times New Roman" w:hAnsi="Times New Roman" w:cs="Times New Roman"/>
              </w:rPr>
            </w:pP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TAHAKKUK EDEN GİDER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87.532.786.87.-</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ÖDENEK ÜSTÜ HARCAMA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00</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İPTAL EDİLEN ÖDENEK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14.473.830.22.-</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SONRAKİ YILA DEVREDEN ÖDENEK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35.275.994.08.-</w:t>
            </w:r>
          </w:p>
        </w:tc>
      </w:tr>
      <w:tr w:rsidR="00C44EE5" w:rsidRPr="00417C6E" w:rsidTr="00A42C90">
        <w:tc>
          <w:tcPr>
            <w:tcW w:w="6487" w:type="dxa"/>
          </w:tcPr>
          <w:p w:rsidR="00C44EE5" w:rsidRPr="006B10FC" w:rsidRDefault="00C44EE5" w:rsidP="00A42C90">
            <w:pPr>
              <w:pStyle w:val="Stil"/>
              <w:rPr>
                <w:rFonts w:ascii="Times New Roman" w:hAnsi="Times New Roman" w:cs="Times New Roman"/>
              </w:rPr>
            </w:pPr>
            <w:r w:rsidRPr="006B10FC">
              <w:rPr>
                <w:rFonts w:ascii="Times New Roman" w:hAnsi="Times New Roman" w:cs="Times New Roman"/>
              </w:rPr>
              <w:t>BÜTÇE GİDER TOPLAMI</w:t>
            </w:r>
          </w:p>
        </w:tc>
        <w:tc>
          <w:tcPr>
            <w:tcW w:w="3718" w:type="dxa"/>
          </w:tcPr>
          <w:p w:rsidR="00C44EE5" w:rsidRPr="006B10FC" w:rsidRDefault="00C44EE5" w:rsidP="00A42C90">
            <w:pPr>
              <w:pStyle w:val="Stil"/>
              <w:jc w:val="center"/>
              <w:rPr>
                <w:rFonts w:ascii="Times New Roman" w:hAnsi="Times New Roman" w:cs="Times New Roman"/>
              </w:rPr>
            </w:pPr>
            <w:r w:rsidRPr="006B10FC">
              <w:rPr>
                <w:rFonts w:ascii="Times New Roman" w:hAnsi="Times New Roman" w:cs="Times New Roman"/>
              </w:rPr>
              <w:t>137.282.611.17.-</w:t>
            </w:r>
          </w:p>
        </w:tc>
      </w:tr>
    </w:tbl>
    <w:p w:rsidR="00C44EE5" w:rsidRPr="00417C6E" w:rsidRDefault="00C44EE5" w:rsidP="00C44EE5">
      <w:pPr>
        <w:pStyle w:val="Stil"/>
        <w:jc w:val="both"/>
        <w:rPr>
          <w:rFonts w:ascii="Times New Roman" w:hAnsi="Times New Roman" w:cs="Times New Roman"/>
          <w:sz w:val="36"/>
          <w:szCs w:val="36"/>
        </w:rPr>
      </w:pPr>
    </w:p>
    <w:p w:rsidR="00C44EE5" w:rsidRDefault="00C44EE5" w:rsidP="00C44EE5">
      <w:pPr>
        <w:pStyle w:val="Stil"/>
        <w:jc w:val="both"/>
        <w:rPr>
          <w:rFonts w:ascii="Times New Roman" w:hAnsi="Times New Roman" w:cs="Times New Roman"/>
        </w:rPr>
      </w:pPr>
      <w:r>
        <w:rPr>
          <w:rFonts w:ascii="Times New Roman" w:hAnsi="Times New Roman" w:cs="Times New Roman"/>
        </w:rPr>
        <w:tab/>
        <w:t xml:space="preserve">İl Özel İdaresi 2016 Yılı Kesin hesabın incelenmesinde, Kesin hesabın İl Özel İdare Kanunu, Mahalli İdareler Bütçe </w:t>
      </w:r>
      <w:r>
        <w:rPr>
          <w:rFonts w:ascii="Times New Roman" w:hAnsi="Times New Roman" w:cs="Times New Roman"/>
        </w:rPr>
        <w:t>ve Muhasebe</w:t>
      </w:r>
      <w:r>
        <w:rPr>
          <w:rFonts w:ascii="Times New Roman" w:hAnsi="Times New Roman" w:cs="Times New Roman"/>
        </w:rPr>
        <w:t xml:space="preserve"> Yönetmeliği ve Kamu Mali Kontrol Kanunu kapsamında hazırlanarak süresi içerisinde İl </w:t>
      </w:r>
      <w:r>
        <w:rPr>
          <w:rFonts w:ascii="Times New Roman" w:hAnsi="Times New Roman" w:cs="Times New Roman"/>
        </w:rPr>
        <w:t>Encümenine getirildiği</w:t>
      </w:r>
      <w:r>
        <w:rPr>
          <w:rFonts w:ascii="Times New Roman" w:hAnsi="Times New Roman" w:cs="Times New Roman"/>
        </w:rPr>
        <w:t xml:space="preserve">, İl Encümen görüşünün hazırlandığı, kanunun ve mevzuatlarda isten hususların dikkate alındığı, 137.282.611.17-TL. </w:t>
      </w:r>
      <w:proofErr w:type="gramStart"/>
      <w:r>
        <w:rPr>
          <w:rFonts w:ascii="Times New Roman" w:hAnsi="Times New Roman" w:cs="Times New Roman"/>
        </w:rPr>
        <w:t>gelir</w:t>
      </w:r>
      <w:proofErr w:type="gramEnd"/>
      <w:r>
        <w:rPr>
          <w:rFonts w:ascii="Times New Roman" w:hAnsi="Times New Roman" w:cs="Times New Roman"/>
        </w:rPr>
        <w:t xml:space="preserve"> gider olarak kesin hesabın bağlandığı görülmüştür.</w:t>
      </w:r>
    </w:p>
    <w:p w:rsidR="00C44EE5" w:rsidRDefault="00C44EE5" w:rsidP="00C44EE5">
      <w:pPr>
        <w:pStyle w:val="Stil"/>
        <w:jc w:val="both"/>
        <w:rPr>
          <w:rFonts w:ascii="Times New Roman" w:hAnsi="Times New Roman" w:cs="Times New Roman"/>
        </w:rPr>
      </w:pPr>
      <w:r>
        <w:rPr>
          <w:rFonts w:ascii="Times New Roman" w:hAnsi="Times New Roman" w:cs="Times New Roman"/>
        </w:rPr>
        <w:tab/>
        <w:t xml:space="preserve">İl Genel Meclisinin takdirlerine arz olunur. </w:t>
      </w:r>
    </w:p>
    <w:p w:rsidR="00C44EE5" w:rsidRDefault="00C44EE5" w:rsidP="00C44EE5">
      <w:pPr>
        <w:pStyle w:val="Stil"/>
        <w:jc w:val="both"/>
        <w:rPr>
          <w:rFonts w:ascii="Times New Roman" w:hAnsi="Times New Roman" w:cs="Times New Roman"/>
        </w:rPr>
      </w:pPr>
    </w:p>
    <w:p w:rsidR="00C44EE5" w:rsidRDefault="00C44EE5" w:rsidP="00C44EE5">
      <w:pPr>
        <w:jc w:val="both"/>
      </w:pPr>
      <w:r>
        <w:tab/>
      </w:r>
    </w:p>
    <w:p w:rsidR="00C44EE5" w:rsidRDefault="00C44EE5" w:rsidP="00C44EE5">
      <w:pPr>
        <w:pStyle w:val="ListeParagraf"/>
        <w:ind w:left="1068"/>
        <w:jc w:val="both"/>
      </w:pPr>
    </w:p>
    <w:p w:rsidR="00C44EE5" w:rsidRDefault="00C44EE5" w:rsidP="00C44EE5">
      <w:pPr>
        <w:jc w:val="both"/>
      </w:pPr>
      <w:r>
        <w:t>Habib ALTINTOP</w:t>
      </w:r>
      <w:r>
        <w:tab/>
      </w:r>
      <w:r>
        <w:tab/>
        <w:t>H. Ömer ÖRSDEMİR</w:t>
      </w:r>
      <w:r>
        <w:tab/>
        <w:t>Ferit OLUK</w:t>
      </w:r>
      <w:r>
        <w:tab/>
      </w:r>
      <w:r>
        <w:tab/>
        <w:t>Yılmaz CEBECİ</w:t>
      </w:r>
    </w:p>
    <w:p w:rsidR="00C44EE5" w:rsidRDefault="00C44EE5" w:rsidP="00C44EE5">
      <w:pPr>
        <w:jc w:val="both"/>
      </w:pPr>
      <w:r>
        <w:t>Komisyon Başkanı</w:t>
      </w:r>
      <w:r>
        <w:tab/>
      </w:r>
      <w:r>
        <w:tab/>
        <w:t>Başkan Yardımcısı</w:t>
      </w:r>
      <w:r>
        <w:tab/>
      </w:r>
      <w:r>
        <w:tab/>
        <w:t>Sözcü</w:t>
      </w:r>
      <w:r>
        <w:tab/>
      </w:r>
      <w:r>
        <w:tab/>
      </w:r>
      <w:r>
        <w:tab/>
        <w:t>Üye</w:t>
      </w:r>
    </w:p>
    <w:p w:rsidR="00C44EE5" w:rsidRDefault="00C44EE5" w:rsidP="00C44EE5">
      <w:pPr>
        <w:jc w:val="both"/>
      </w:pPr>
    </w:p>
    <w:p w:rsidR="00C44EE5" w:rsidRDefault="00C44EE5" w:rsidP="00C44EE5">
      <w:pPr>
        <w:jc w:val="both"/>
      </w:pPr>
    </w:p>
    <w:p w:rsidR="00C44EE5" w:rsidRDefault="00C44EE5" w:rsidP="00C44EE5">
      <w:pPr>
        <w:jc w:val="both"/>
      </w:pPr>
    </w:p>
    <w:p w:rsidR="00C44EE5" w:rsidRDefault="00C44EE5" w:rsidP="00C44EE5">
      <w:pPr>
        <w:jc w:val="both"/>
      </w:pPr>
      <w:r>
        <w:t>Mustafa GÜNDÜZ</w:t>
      </w:r>
      <w:r>
        <w:tab/>
      </w:r>
      <w:r>
        <w:tab/>
      </w:r>
      <w:r>
        <w:tab/>
        <w:t>Ahmet DEMİRBİLEK</w:t>
      </w:r>
      <w:r>
        <w:tab/>
      </w:r>
      <w:r>
        <w:tab/>
      </w:r>
      <w:r>
        <w:tab/>
        <w:t>Dağıstan BİLGİÇ</w:t>
      </w:r>
    </w:p>
    <w:p w:rsidR="00C44EE5" w:rsidRDefault="00C44EE5" w:rsidP="00C44EE5">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C44EE5" w:rsidRDefault="00C44EE5" w:rsidP="00C44EE5">
      <w:pPr>
        <w:jc w:val="both"/>
      </w:pPr>
    </w:p>
    <w:p w:rsidR="00C44EE5" w:rsidRDefault="00C44EE5" w:rsidP="00C44EE5">
      <w:pPr>
        <w:jc w:val="both"/>
      </w:pPr>
    </w:p>
    <w:p w:rsidR="00C44EE5" w:rsidRDefault="00C44EE5" w:rsidP="00C44EE5">
      <w:pPr>
        <w:jc w:val="center"/>
      </w:pPr>
      <w:r>
        <w:t>TASDİK OLUNUR</w:t>
      </w:r>
    </w:p>
    <w:p w:rsidR="00C44EE5" w:rsidRDefault="00C44EE5" w:rsidP="00C44EE5">
      <w:pPr>
        <w:jc w:val="center"/>
      </w:pPr>
      <w:r>
        <w:t>4.05.2017</w:t>
      </w:r>
    </w:p>
    <w:p w:rsidR="00C44EE5" w:rsidRDefault="00C44EE5" w:rsidP="00C44EE5">
      <w:pPr>
        <w:jc w:val="center"/>
      </w:pPr>
    </w:p>
    <w:p w:rsidR="00C44EE5" w:rsidRDefault="00C44EE5" w:rsidP="00C44EE5">
      <w:pPr>
        <w:jc w:val="center"/>
      </w:pPr>
      <w:r>
        <w:t>Murat ÇAYKARA</w:t>
      </w:r>
    </w:p>
    <w:p w:rsidR="00971FC5" w:rsidRDefault="00C44EE5" w:rsidP="00C44EE5">
      <w:pPr>
        <w:jc w:val="center"/>
      </w:pPr>
      <w:r>
        <w:t>İl Genel Meclisi Başkanı</w:t>
      </w:r>
    </w:p>
    <w:sectPr w:rsidR="00971FC5" w:rsidSect="00C44EE5">
      <w:pgSz w:w="11906" w:h="16838"/>
      <w:pgMar w:top="426"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BA"/>
    <w:rsid w:val="007A26BA"/>
    <w:rsid w:val="00971FC5"/>
    <w:rsid w:val="00C44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E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C44E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44EE5"/>
    <w:rPr>
      <w:rFonts w:asciiTheme="majorHAnsi" w:eastAsiaTheme="majorEastAsia" w:hAnsiTheme="majorHAnsi" w:cstheme="majorBidi"/>
      <w:b/>
      <w:bCs/>
      <w:color w:val="4F81BD" w:themeColor="accent1"/>
      <w:sz w:val="26"/>
      <w:szCs w:val="26"/>
      <w:lang w:eastAsia="tr-TR"/>
    </w:rPr>
  </w:style>
  <w:style w:type="paragraph" w:customStyle="1" w:styleId="Stil">
    <w:name w:val="Stil"/>
    <w:uiPriority w:val="99"/>
    <w:rsid w:val="00C44EE5"/>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C44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44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E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C44E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44EE5"/>
    <w:rPr>
      <w:rFonts w:asciiTheme="majorHAnsi" w:eastAsiaTheme="majorEastAsia" w:hAnsiTheme="majorHAnsi" w:cstheme="majorBidi"/>
      <w:b/>
      <w:bCs/>
      <w:color w:val="4F81BD" w:themeColor="accent1"/>
      <w:sz w:val="26"/>
      <w:szCs w:val="26"/>
      <w:lang w:eastAsia="tr-TR"/>
    </w:rPr>
  </w:style>
  <w:style w:type="paragraph" w:customStyle="1" w:styleId="Stil">
    <w:name w:val="Stil"/>
    <w:uiPriority w:val="99"/>
    <w:rsid w:val="00C44EE5"/>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C44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44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2017-05-17T11:52:00Z</dcterms:created>
  <dcterms:modified xsi:type="dcterms:W3CDTF">2017-05-17T11:52:00Z</dcterms:modified>
</cp:coreProperties>
</file>