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20D" w:rsidRDefault="001F420D" w:rsidP="001F420D">
      <w:pPr>
        <w:jc w:val="center"/>
      </w:pPr>
      <w:r>
        <w:t>İL GENEL MECLİSİ BAŞKANLIĞINA</w:t>
      </w:r>
    </w:p>
    <w:p w:rsidR="001F420D" w:rsidRDefault="001F420D" w:rsidP="001F420D">
      <w:pPr>
        <w:jc w:val="center"/>
      </w:pPr>
      <w:r>
        <w:t>(Eğitim Kültür ve Sosyal Hizmetler Komisyon Raporu)</w:t>
      </w:r>
    </w:p>
    <w:p w:rsidR="001F420D" w:rsidRDefault="001F420D" w:rsidP="001F420D">
      <w:pPr>
        <w:jc w:val="center"/>
      </w:pPr>
    </w:p>
    <w:tbl>
      <w:tblPr>
        <w:tblW w:w="10360" w:type="dxa"/>
        <w:tblInd w:w="-356" w:type="dxa"/>
        <w:tblCellMar>
          <w:left w:w="70" w:type="dxa"/>
          <w:right w:w="70" w:type="dxa"/>
        </w:tblCellMar>
        <w:tblLook w:val="04A0" w:firstRow="1" w:lastRow="0" w:firstColumn="1" w:lastColumn="0" w:noHBand="0" w:noVBand="1"/>
      </w:tblPr>
      <w:tblGrid>
        <w:gridCol w:w="146"/>
        <w:gridCol w:w="1720"/>
        <w:gridCol w:w="2060"/>
        <w:gridCol w:w="1780"/>
        <w:gridCol w:w="4654"/>
      </w:tblGrid>
      <w:tr w:rsidR="001F420D" w:rsidRPr="00F65451" w:rsidTr="001F420D">
        <w:trPr>
          <w:trHeight w:val="517"/>
        </w:trPr>
        <w:tc>
          <w:tcPr>
            <w:tcW w:w="10360" w:type="dxa"/>
            <w:gridSpan w:val="5"/>
            <w:vMerge w:val="restart"/>
            <w:tcBorders>
              <w:top w:val="nil"/>
              <w:left w:val="nil"/>
              <w:bottom w:val="nil"/>
              <w:right w:val="nil"/>
            </w:tcBorders>
            <w:vAlign w:val="center"/>
            <w:hideMark/>
          </w:tcPr>
          <w:p w:rsidR="001F420D" w:rsidRDefault="001F420D" w:rsidP="00B76937">
            <w:pPr>
              <w:spacing w:after="200" w:line="276" w:lineRule="auto"/>
              <w:jc w:val="both"/>
              <w:rPr>
                <w:bCs/>
                <w:color w:val="000000"/>
              </w:rPr>
            </w:pPr>
            <w:r>
              <w:rPr>
                <w:bCs/>
                <w:color w:val="000000"/>
              </w:rPr>
              <w:t xml:space="preserve">             </w:t>
            </w:r>
            <w:proofErr w:type="gramStart"/>
            <w:r>
              <w:rPr>
                <w:bCs/>
                <w:color w:val="000000"/>
              </w:rPr>
              <w:t xml:space="preserve">İl Özel İdaresi Destek Hizmetleri Müdürlüğü 03.05.2017 tarih ve 2830 sayılı yazılarında; İl Özel İdare Makine parkında bulunan ihtiyaç fazlası kullanılamayan araç, gereç ve iş makinelerinden bir kısmının kurumlarca talep edildiği belirtilerek, söz konusu araç ve iş makinelerinin talep eden kurumlara verilmesini istemiş, teklif gündeme alındıktan sonra Komisyonumuza havale edilmiştir. </w:t>
            </w:r>
            <w:proofErr w:type="gramEnd"/>
            <w:r>
              <w:rPr>
                <w:bCs/>
                <w:color w:val="000000"/>
              </w:rPr>
              <w:t>Komisyonumuz 16-23 Mayıs 2017 tarihleri arasında beş gün toplanarak çalışmasını tamamlamıştır.</w:t>
            </w:r>
          </w:p>
          <w:p w:rsidR="001F420D" w:rsidRDefault="001F420D" w:rsidP="00B76937">
            <w:pPr>
              <w:spacing w:after="200" w:line="276" w:lineRule="auto"/>
              <w:jc w:val="both"/>
              <w:rPr>
                <w:bCs/>
                <w:color w:val="000000"/>
              </w:rPr>
            </w:pPr>
            <w:r>
              <w:rPr>
                <w:bCs/>
                <w:color w:val="000000"/>
              </w:rPr>
              <w:t xml:space="preserve">             İl Özel İdare Makine parkında bulunan, ancak il özel idaresince kullanılamayan araç gereç ve iş makineleri kurum ve kuruluşların talepleri doğrultusunda yapılacak protokolle kurumlara verilebilmektedir. </w:t>
            </w:r>
            <w:proofErr w:type="gramStart"/>
            <w:r>
              <w:rPr>
                <w:bCs/>
                <w:color w:val="000000"/>
              </w:rPr>
              <w:t xml:space="preserve">Bu kapsamda olmak üzere İl Özel İdaresine ait 71 DP 359 Plakalı Otomobil 112 Acil Çağrı Merkezinde Sağlık Hizmetlerinde, 71 EK 073 Plakalı Otomobil Kırıkkale Özel Eğitim Uygulama Merkezi 1.Kademe Müdürlüğünde Eğitim Hizmetlerinde, 71 AE 111 Plakalı otomobil Sulakyurt İlçe Milli Eğitim Müdürlüğünde Eğitim Hizmetlerinde ve 94-42006 </w:t>
            </w:r>
            <w:proofErr w:type="spellStart"/>
            <w:r>
              <w:rPr>
                <w:bCs/>
                <w:color w:val="000000"/>
              </w:rPr>
              <w:t>Hidromek</w:t>
            </w:r>
            <w:proofErr w:type="spellEnd"/>
            <w:r>
              <w:rPr>
                <w:bCs/>
                <w:color w:val="000000"/>
              </w:rPr>
              <w:t xml:space="preserve"> Beko-</w:t>
            </w:r>
            <w:proofErr w:type="spellStart"/>
            <w:r>
              <w:rPr>
                <w:bCs/>
                <w:color w:val="000000"/>
              </w:rPr>
              <w:t>Loder</w:t>
            </w:r>
            <w:proofErr w:type="spellEnd"/>
            <w:r>
              <w:rPr>
                <w:bCs/>
                <w:color w:val="000000"/>
              </w:rPr>
              <w:t xml:space="preserve"> İş Makinesi Kırıkkale Meslek ve Teknik Anadolu Lise Müdürlüğünde Eğitim Hizmetlerinde kullanılmak </w:t>
            </w:r>
            <w:bookmarkStart w:id="0" w:name="_GoBack"/>
            <w:bookmarkEnd w:id="0"/>
            <w:r>
              <w:rPr>
                <w:bCs/>
                <w:color w:val="000000"/>
              </w:rPr>
              <w:t>üzere talep</w:t>
            </w:r>
            <w:r>
              <w:rPr>
                <w:bCs/>
                <w:color w:val="000000"/>
              </w:rPr>
              <w:t xml:space="preserve"> edilmiştir. </w:t>
            </w:r>
            <w:proofErr w:type="gramEnd"/>
          </w:p>
          <w:p w:rsidR="001F420D" w:rsidRDefault="001F420D" w:rsidP="00B76937">
            <w:pPr>
              <w:spacing w:after="200" w:line="276" w:lineRule="auto"/>
              <w:jc w:val="both"/>
              <w:rPr>
                <w:bCs/>
                <w:color w:val="000000"/>
              </w:rPr>
            </w:pPr>
            <w:r>
              <w:rPr>
                <w:bCs/>
                <w:color w:val="000000"/>
              </w:rPr>
              <w:t xml:space="preserve">          Yapılan değerlendirmede söz konusu araç ve iş makinesinin İl Özel İdaresince kullanılmadığı, taleplerin sağlık ve eğitim hizmetleri kapsamında olduğu ve İl Özel İdaresinin görevleri arasında </w:t>
            </w:r>
            <w:r>
              <w:rPr>
                <w:bCs/>
                <w:color w:val="000000"/>
              </w:rPr>
              <w:t>sayılan hizmetlerde</w:t>
            </w:r>
            <w:r>
              <w:rPr>
                <w:bCs/>
                <w:color w:val="000000"/>
              </w:rPr>
              <w:t xml:space="preserve"> kullanılacak araç ve iş makinelerinin yukarıda adı geçen kurumlara verilmesinin uygun olduğu kanaatine varılmıştır.</w:t>
            </w:r>
          </w:p>
          <w:p w:rsidR="001F420D" w:rsidRDefault="001F420D" w:rsidP="00B76937">
            <w:pPr>
              <w:spacing w:after="200" w:line="276" w:lineRule="auto"/>
              <w:jc w:val="both"/>
              <w:rPr>
                <w:bCs/>
                <w:color w:val="000000"/>
              </w:rPr>
            </w:pPr>
            <w:r>
              <w:rPr>
                <w:bCs/>
                <w:color w:val="000000"/>
              </w:rPr>
              <w:t xml:space="preserve">            İl Özel İdare Makine parkında bulunan ve İl Özel İdaresince kullanılamayan;</w:t>
            </w:r>
          </w:p>
          <w:p w:rsidR="001F420D" w:rsidRPr="00754F8E" w:rsidRDefault="001F420D" w:rsidP="001F420D">
            <w:pPr>
              <w:pStyle w:val="ListeParagraf"/>
              <w:numPr>
                <w:ilvl w:val="0"/>
                <w:numId w:val="1"/>
              </w:numPr>
              <w:spacing w:after="200" w:line="276" w:lineRule="auto"/>
              <w:jc w:val="both"/>
              <w:rPr>
                <w:bCs/>
                <w:color w:val="000000"/>
              </w:rPr>
            </w:pPr>
            <w:r w:rsidRPr="00754F8E">
              <w:rPr>
                <w:bCs/>
                <w:color w:val="000000"/>
              </w:rPr>
              <w:t>71 DP 359 Plakalı Otomobil 112 Aci</w:t>
            </w:r>
            <w:r>
              <w:rPr>
                <w:bCs/>
                <w:color w:val="000000"/>
              </w:rPr>
              <w:t>l Çağrı Mer</w:t>
            </w:r>
            <w:r w:rsidRPr="00754F8E">
              <w:rPr>
                <w:bCs/>
                <w:color w:val="000000"/>
              </w:rPr>
              <w:t>k</w:t>
            </w:r>
            <w:r>
              <w:rPr>
                <w:bCs/>
                <w:color w:val="000000"/>
              </w:rPr>
              <w:t>e</w:t>
            </w:r>
            <w:r w:rsidRPr="00754F8E">
              <w:rPr>
                <w:bCs/>
                <w:color w:val="000000"/>
              </w:rPr>
              <w:t>zi</w:t>
            </w:r>
            <w:r>
              <w:rPr>
                <w:bCs/>
                <w:color w:val="000000"/>
              </w:rPr>
              <w:t>ne</w:t>
            </w:r>
            <w:r w:rsidRPr="00754F8E">
              <w:rPr>
                <w:bCs/>
                <w:color w:val="000000"/>
              </w:rPr>
              <w:t xml:space="preserve"> Sağlık Hizmetlerinde,</w:t>
            </w:r>
          </w:p>
          <w:p w:rsidR="001F420D" w:rsidRDefault="001F420D" w:rsidP="001F420D">
            <w:pPr>
              <w:pStyle w:val="ListeParagraf"/>
              <w:numPr>
                <w:ilvl w:val="0"/>
                <w:numId w:val="1"/>
              </w:numPr>
              <w:spacing w:after="200" w:line="276" w:lineRule="auto"/>
              <w:jc w:val="both"/>
              <w:rPr>
                <w:bCs/>
                <w:color w:val="000000"/>
              </w:rPr>
            </w:pPr>
            <w:r>
              <w:rPr>
                <w:bCs/>
                <w:color w:val="000000"/>
              </w:rPr>
              <w:t xml:space="preserve"> 71 EK 073 Plaka</w:t>
            </w:r>
            <w:r w:rsidRPr="00754F8E">
              <w:rPr>
                <w:bCs/>
                <w:color w:val="000000"/>
              </w:rPr>
              <w:t>lı Otomobili Kırıkkale Özel Eğitim Uygulama Merkezi 1.Kademe Müdürlüğü</w:t>
            </w:r>
            <w:r>
              <w:rPr>
                <w:bCs/>
                <w:color w:val="000000"/>
              </w:rPr>
              <w:t>ne Eğitim Hizmetlerinde</w:t>
            </w:r>
            <w:r w:rsidRPr="00754F8E">
              <w:rPr>
                <w:bCs/>
                <w:color w:val="000000"/>
              </w:rPr>
              <w:t>,</w:t>
            </w:r>
          </w:p>
          <w:p w:rsidR="001F420D" w:rsidRDefault="001F420D" w:rsidP="001F420D">
            <w:pPr>
              <w:pStyle w:val="ListeParagraf"/>
              <w:numPr>
                <w:ilvl w:val="0"/>
                <w:numId w:val="1"/>
              </w:numPr>
              <w:spacing w:after="200" w:line="276" w:lineRule="auto"/>
              <w:jc w:val="both"/>
              <w:rPr>
                <w:bCs/>
                <w:color w:val="000000"/>
              </w:rPr>
            </w:pPr>
            <w:r w:rsidRPr="00754F8E">
              <w:rPr>
                <w:bCs/>
                <w:color w:val="000000"/>
              </w:rPr>
              <w:t xml:space="preserve"> 71 AE 111 Plaka</w:t>
            </w:r>
            <w:r>
              <w:rPr>
                <w:bCs/>
                <w:color w:val="000000"/>
              </w:rPr>
              <w:t>lı O</w:t>
            </w:r>
            <w:r w:rsidRPr="00754F8E">
              <w:rPr>
                <w:bCs/>
                <w:color w:val="000000"/>
              </w:rPr>
              <w:t>tomobil Sulakyurt İlçe Milli Eğitim Müdürlüğüne</w:t>
            </w:r>
            <w:r>
              <w:rPr>
                <w:bCs/>
                <w:color w:val="000000"/>
              </w:rPr>
              <w:t xml:space="preserve"> Eğitim Hizmetlerinde,</w:t>
            </w:r>
          </w:p>
          <w:p w:rsidR="001F420D" w:rsidRDefault="001F420D" w:rsidP="001F420D">
            <w:pPr>
              <w:pStyle w:val="ListeParagraf"/>
              <w:numPr>
                <w:ilvl w:val="0"/>
                <w:numId w:val="1"/>
              </w:numPr>
              <w:spacing w:after="200" w:line="276" w:lineRule="auto"/>
              <w:jc w:val="both"/>
              <w:rPr>
                <w:bCs/>
                <w:color w:val="000000"/>
              </w:rPr>
            </w:pPr>
            <w:r w:rsidRPr="00754F8E">
              <w:rPr>
                <w:bCs/>
                <w:color w:val="000000"/>
              </w:rPr>
              <w:t xml:space="preserve"> </w:t>
            </w:r>
            <w:proofErr w:type="gramStart"/>
            <w:r w:rsidRPr="00754F8E">
              <w:rPr>
                <w:bCs/>
                <w:color w:val="000000"/>
              </w:rPr>
              <w:t xml:space="preserve">94-42006 </w:t>
            </w:r>
            <w:proofErr w:type="spellStart"/>
            <w:r w:rsidRPr="00754F8E">
              <w:rPr>
                <w:bCs/>
                <w:color w:val="000000"/>
              </w:rPr>
              <w:t>Hidromek</w:t>
            </w:r>
            <w:proofErr w:type="spellEnd"/>
            <w:r w:rsidRPr="00754F8E">
              <w:rPr>
                <w:bCs/>
                <w:color w:val="000000"/>
              </w:rPr>
              <w:t xml:space="preserve"> </w:t>
            </w:r>
            <w:proofErr w:type="spellStart"/>
            <w:r w:rsidRPr="00754F8E">
              <w:rPr>
                <w:bCs/>
                <w:color w:val="000000"/>
              </w:rPr>
              <w:t>Beako-Loder</w:t>
            </w:r>
            <w:proofErr w:type="spellEnd"/>
            <w:r w:rsidRPr="00754F8E">
              <w:rPr>
                <w:bCs/>
                <w:color w:val="000000"/>
              </w:rPr>
              <w:t xml:space="preserve"> İş Makinesi Kırıkkale Meslek ve Teknik Anadolu Lise Müdürlüğü</w:t>
            </w:r>
            <w:r>
              <w:rPr>
                <w:bCs/>
                <w:color w:val="000000"/>
              </w:rPr>
              <w:t xml:space="preserve"> Eğitim Hizmetleri için verilmesine, bu araç ve iş makinelerinin tamir, bakım, sigorta ve diğer giderlerinin araç ve iş makinesini alan kurumlarca karşılanmasına, bu hususla ilgili protokolü imzalamak üzere Valilik Makamına yetki verilmesine Komisyonumuzca oybirliğiyle karar verildi.</w:t>
            </w:r>
            <w:proofErr w:type="gramEnd"/>
          </w:p>
          <w:p w:rsidR="001F420D" w:rsidRDefault="001F420D" w:rsidP="00B76937">
            <w:pPr>
              <w:pStyle w:val="ListeParagraf"/>
              <w:spacing w:after="200" w:line="276" w:lineRule="auto"/>
              <w:ind w:left="420"/>
              <w:jc w:val="both"/>
              <w:rPr>
                <w:bCs/>
                <w:color w:val="000000"/>
              </w:rPr>
            </w:pPr>
          </w:p>
          <w:p w:rsidR="001F420D" w:rsidRPr="00754F8E" w:rsidRDefault="001F420D" w:rsidP="00B76937">
            <w:pPr>
              <w:pStyle w:val="ListeParagraf"/>
              <w:spacing w:after="200" w:line="276" w:lineRule="auto"/>
              <w:ind w:left="420"/>
              <w:jc w:val="both"/>
              <w:rPr>
                <w:bCs/>
                <w:color w:val="000000"/>
              </w:rPr>
            </w:pPr>
            <w:r>
              <w:rPr>
                <w:bCs/>
                <w:color w:val="000000"/>
              </w:rPr>
              <w:t xml:space="preserve">    İl Genel Meclisinin takdirlerine arz olunur. </w:t>
            </w:r>
          </w:p>
        </w:tc>
      </w:tr>
      <w:tr w:rsidR="001F420D" w:rsidRPr="00F65451" w:rsidTr="001F420D">
        <w:trPr>
          <w:trHeight w:val="288"/>
        </w:trPr>
        <w:tc>
          <w:tcPr>
            <w:tcW w:w="10360" w:type="dxa"/>
            <w:gridSpan w:val="5"/>
            <w:vMerge/>
            <w:tcBorders>
              <w:top w:val="nil"/>
              <w:left w:val="nil"/>
              <w:bottom w:val="nil"/>
              <w:right w:val="nil"/>
            </w:tcBorders>
            <w:vAlign w:val="center"/>
            <w:hideMark/>
          </w:tcPr>
          <w:p w:rsidR="001F420D" w:rsidRPr="0041460D" w:rsidRDefault="001F420D" w:rsidP="00B76937">
            <w:pPr>
              <w:rPr>
                <w:b/>
                <w:bCs/>
                <w:color w:val="000000"/>
              </w:rPr>
            </w:pPr>
          </w:p>
        </w:tc>
      </w:tr>
      <w:tr w:rsidR="001F420D" w:rsidRPr="00F65451" w:rsidTr="001F420D">
        <w:trPr>
          <w:trHeight w:val="288"/>
        </w:trPr>
        <w:tc>
          <w:tcPr>
            <w:tcW w:w="10360" w:type="dxa"/>
            <w:gridSpan w:val="5"/>
            <w:vMerge/>
            <w:tcBorders>
              <w:top w:val="nil"/>
              <w:left w:val="nil"/>
              <w:bottom w:val="nil"/>
              <w:right w:val="nil"/>
            </w:tcBorders>
            <w:vAlign w:val="center"/>
            <w:hideMark/>
          </w:tcPr>
          <w:p w:rsidR="001F420D" w:rsidRPr="0041460D" w:rsidRDefault="001F420D" w:rsidP="00B76937">
            <w:pPr>
              <w:rPr>
                <w:b/>
                <w:bCs/>
                <w:color w:val="000000"/>
              </w:rPr>
            </w:pPr>
          </w:p>
        </w:tc>
      </w:tr>
      <w:tr w:rsidR="001F420D" w:rsidRPr="00F65451" w:rsidTr="001F420D">
        <w:trPr>
          <w:trHeight w:val="288"/>
        </w:trPr>
        <w:tc>
          <w:tcPr>
            <w:tcW w:w="146" w:type="dxa"/>
            <w:tcBorders>
              <w:top w:val="nil"/>
              <w:left w:val="nil"/>
              <w:bottom w:val="nil"/>
              <w:right w:val="nil"/>
            </w:tcBorders>
            <w:shd w:val="clear" w:color="auto" w:fill="auto"/>
            <w:vAlign w:val="center"/>
            <w:hideMark/>
          </w:tcPr>
          <w:p w:rsidR="001F420D" w:rsidRPr="0041460D" w:rsidRDefault="001F420D" w:rsidP="00B76937">
            <w:pPr>
              <w:rPr>
                <w:b/>
                <w:bCs/>
                <w:color w:val="000000"/>
              </w:rPr>
            </w:pPr>
          </w:p>
        </w:tc>
        <w:tc>
          <w:tcPr>
            <w:tcW w:w="1720" w:type="dxa"/>
            <w:tcBorders>
              <w:top w:val="nil"/>
              <w:left w:val="nil"/>
              <w:bottom w:val="nil"/>
              <w:right w:val="nil"/>
            </w:tcBorders>
            <w:shd w:val="clear" w:color="auto" w:fill="auto"/>
            <w:vAlign w:val="center"/>
            <w:hideMark/>
          </w:tcPr>
          <w:p w:rsidR="001F420D" w:rsidRPr="0041460D" w:rsidRDefault="001F420D" w:rsidP="00B76937">
            <w:pPr>
              <w:rPr>
                <w:b/>
                <w:bCs/>
                <w:color w:val="000000"/>
              </w:rPr>
            </w:pPr>
          </w:p>
        </w:tc>
        <w:tc>
          <w:tcPr>
            <w:tcW w:w="2060" w:type="dxa"/>
            <w:tcBorders>
              <w:top w:val="nil"/>
              <w:left w:val="nil"/>
              <w:bottom w:val="nil"/>
              <w:right w:val="nil"/>
            </w:tcBorders>
            <w:shd w:val="clear" w:color="auto" w:fill="auto"/>
            <w:vAlign w:val="center"/>
            <w:hideMark/>
          </w:tcPr>
          <w:p w:rsidR="001F420D" w:rsidRPr="0041460D" w:rsidRDefault="001F420D" w:rsidP="00B76937">
            <w:pPr>
              <w:rPr>
                <w:b/>
                <w:bCs/>
                <w:color w:val="000000"/>
              </w:rPr>
            </w:pPr>
          </w:p>
        </w:tc>
        <w:tc>
          <w:tcPr>
            <w:tcW w:w="1780" w:type="dxa"/>
            <w:tcBorders>
              <w:top w:val="nil"/>
              <w:left w:val="nil"/>
              <w:bottom w:val="nil"/>
              <w:right w:val="nil"/>
            </w:tcBorders>
            <w:shd w:val="clear" w:color="auto" w:fill="auto"/>
            <w:vAlign w:val="center"/>
            <w:hideMark/>
          </w:tcPr>
          <w:p w:rsidR="001F420D" w:rsidRPr="0041460D" w:rsidRDefault="001F420D" w:rsidP="00B76937">
            <w:pPr>
              <w:rPr>
                <w:b/>
                <w:bCs/>
                <w:color w:val="000000"/>
              </w:rPr>
            </w:pPr>
          </w:p>
        </w:tc>
        <w:tc>
          <w:tcPr>
            <w:tcW w:w="4654" w:type="dxa"/>
            <w:tcBorders>
              <w:top w:val="nil"/>
              <w:left w:val="nil"/>
              <w:bottom w:val="nil"/>
              <w:right w:val="nil"/>
            </w:tcBorders>
            <w:shd w:val="clear" w:color="auto" w:fill="auto"/>
            <w:vAlign w:val="center"/>
            <w:hideMark/>
          </w:tcPr>
          <w:p w:rsidR="001F420D" w:rsidRPr="00F65451" w:rsidRDefault="001F420D" w:rsidP="00B76937">
            <w:pPr>
              <w:rPr>
                <w:b/>
                <w:bCs/>
                <w:color w:val="000000"/>
              </w:rPr>
            </w:pPr>
          </w:p>
        </w:tc>
      </w:tr>
      <w:tr w:rsidR="001F420D" w:rsidRPr="00F65451" w:rsidTr="001F420D">
        <w:trPr>
          <w:trHeight w:val="288"/>
        </w:trPr>
        <w:tc>
          <w:tcPr>
            <w:tcW w:w="146" w:type="dxa"/>
            <w:tcBorders>
              <w:top w:val="nil"/>
              <w:left w:val="nil"/>
              <w:bottom w:val="nil"/>
              <w:right w:val="nil"/>
            </w:tcBorders>
            <w:shd w:val="clear" w:color="auto" w:fill="auto"/>
            <w:vAlign w:val="bottom"/>
            <w:hideMark/>
          </w:tcPr>
          <w:p w:rsidR="001F420D" w:rsidRPr="00F65451" w:rsidRDefault="001F420D" w:rsidP="00B76937">
            <w:pPr>
              <w:rPr>
                <w:rFonts w:ascii="Calibri" w:hAnsi="Calibri"/>
                <w:color w:val="000000"/>
              </w:rPr>
            </w:pPr>
          </w:p>
        </w:tc>
        <w:tc>
          <w:tcPr>
            <w:tcW w:w="1720" w:type="dxa"/>
            <w:tcBorders>
              <w:top w:val="nil"/>
              <w:left w:val="nil"/>
              <w:bottom w:val="nil"/>
              <w:right w:val="nil"/>
            </w:tcBorders>
            <w:shd w:val="clear" w:color="auto" w:fill="auto"/>
            <w:vAlign w:val="bottom"/>
            <w:hideMark/>
          </w:tcPr>
          <w:p w:rsidR="001F420D" w:rsidRPr="00F65451" w:rsidRDefault="001F420D" w:rsidP="00B76937">
            <w:pPr>
              <w:rPr>
                <w:rFonts w:ascii="Calibri" w:hAnsi="Calibri"/>
                <w:color w:val="000000"/>
              </w:rPr>
            </w:pPr>
          </w:p>
        </w:tc>
        <w:tc>
          <w:tcPr>
            <w:tcW w:w="2060" w:type="dxa"/>
            <w:tcBorders>
              <w:top w:val="nil"/>
              <w:left w:val="nil"/>
              <w:bottom w:val="nil"/>
              <w:right w:val="nil"/>
            </w:tcBorders>
            <w:shd w:val="clear" w:color="auto" w:fill="auto"/>
            <w:vAlign w:val="bottom"/>
            <w:hideMark/>
          </w:tcPr>
          <w:p w:rsidR="001F420D" w:rsidRPr="00F65451" w:rsidRDefault="001F420D" w:rsidP="00B76937">
            <w:pPr>
              <w:rPr>
                <w:rFonts w:ascii="Calibri" w:hAnsi="Calibri"/>
                <w:color w:val="000000"/>
              </w:rPr>
            </w:pPr>
          </w:p>
        </w:tc>
        <w:tc>
          <w:tcPr>
            <w:tcW w:w="1780" w:type="dxa"/>
            <w:tcBorders>
              <w:top w:val="nil"/>
              <w:left w:val="nil"/>
              <w:bottom w:val="nil"/>
              <w:right w:val="nil"/>
            </w:tcBorders>
            <w:shd w:val="clear" w:color="auto" w:fill="auto"/>
            <w:vAlign w:val="bottom"/>
            <w:hideMark/>
          </w:tcPr>
          <w:p w:rsidR="001F420D" w:rsidRPr="00F65451" w:rsidRDefault="001F420D" w:rsidP="00B76937">
            <w:pPr>
              <w:rPr>
                <w:rFonts w:ascii="Calibri" w:hAnsi="Calibri"/>
                <w:color w:val="000000"/>
              </w:rPr>
            </w:pPr>
          </w:p>
        </w:tc>
        <w:tc>
          <w:tcPr>
            <w:tcW w:w="4654" w:type="dxa"/>
            <w:tcBorders>
              <w:top w:val="nil"/>
              <w:left w:val="nil"/>
              <w:bottom w:val="nil"/>
              <w:right w:val="nil"/>
            </w:tcBorders>
            <w:shd w:val="clear" w:color="auto" w:fill="auto"/>
            <w:vAlign w:val="bottom"/>
            <w:hideMark/>
          </w:tcPr>
          <w:p w:rsidR="001F420D" w:rsidRPr="00F65451" w:rsidRDefault="001F420D" w:rsidP="00B76937">
            <w:pPr>
              <w:rPr>
                <w:rFonts w:ascii="Calibri" w:hAnsi="Calibri"/>
                <w:color w:val="000000"/>
              </w:rPr>
            </w:pPr>
          </w:p>
        </w:tc>
      </w:tr>
    </w:tbl>
    <w:p w:rsidR="001F420D" w:rsidRDefault="001F420D" w:rsidP="001F420D">
      <w:pPr>
        <w:jc w:val="both"/>
      </w:pPr>
    </w:p>
    <w:p w:rsidR="001F420D" w:rsidRDefault="001F420D" w:rsidP="001F420D">
      <w:pPr>
        <w:jc w:val="both"/>
      </w:pPr>
      <w:r>
        <w:t>Habib ALTINTOP</w:t>
      </w:r>
      <w:r>
        <w:tab/>
      </w:r>
      <w:r>
        <w:tab/>
      </w:r>
      <w:r>
        <w:tab/>
      </w:r>
      <w:r>
        <w:tab/>
      </w:r>
      <w:proofErr w:type="spellStart"/>
      <w:r>
        <w:t>H.Ömer</w:t>
      </w:r>
      <w:proofErr w:type="spellEnd"/>
      <w:r>
        <w:t xml:space="preserve"> ÖRSDEMİR</w:t>
      </w:r>
      <w:r>
        <w:tab/>
      </w:r>
      <w:r>
        <w:tab/>
      </w:r>
      <w:r>
        <w:tab/>
        <w:t>Mustafa GÜNDÜZ</w:t>
      </w:r>
    </w:p>
    <w:p w:rsidR="001F420D" w:rsidRDefault="001F420D" w:rsidP="001F420D">
      <w:pPr>
        <w:jc w:val="both"/>
      </w:pPr>
      <w:r>
        <w:t>Komisyon Başkanı</w:t>
      </w:r>
      <w:r>
        <w:tab/>
      </w:r>
      <w:r>
        <w:tab/>
      </w:r>
      <w:r>
        <w:tab/>
      </w:r>
      <w:r>
        <w:tab/>
        <w:t>Başkan Yardımcısı</w:t>
      </w:r>
      <w:r>
        <w:tab/>
      </w:r>
      <w:r>
        <w:tab/>
      </w:r>
      <w:r>
        <w:tab/>
        <w:t>Sözcü</w:t>
      </w:r>
    </w:p>
    <w:p w:rsidR="001F420D" w:rsidRDefault="001F420D" w:rsidP="001F420D">
      <w:pPr>
        <w:jc w:val="both"/>
      </w:pPr>
    </w:p>
    <w:p w:rsidR="001F420D" w:rsidRDefault="001F420D" w:rsidP="001F420D">
      <w:pPr>
        <w:jc w:val="both"/>
      </w:pPr>
    </w:p>
    <w:p w:rsidR="001F420D" w:rsidRDefault="001F420D" w:rsidP="001F420D">
      <w:pPr>
        <w:jc w:val="both"/>
      </w:pPr>
    </w:p>
    <w:p w:rsidR="001F420D" w:rsidRDefault="001F420D" w:rsidP="001F420D">
      <w:pPr>
        <w:jc w:val="both"/>
      </w:pPr>
    </w:p>
    <w:p w:rsidR="001F420D" w:rsidRDefault="001F420D" w:rsidP="001F420D">
      <w:pPr>
        <w:jc w:val="both"/>
      </w:pPr>
      <w:r>
        <w:t>Murat ÇAYKARA</w:t>
      </w:r>
      <w:r>
        <w:tab/>
      </w:r>
      <w:r>
        <w:tab/>
      </w:r>
      <w:r>
        <w:tab/>
      </w:r>
      <w:r>
        <w:tab/>
      </w:r>
      <w:r>
        <w:tab/>
      </w:r>
      <w:r>
        <w:tab/>
      </w:r>
      <w:r>
        <w:tab/>
      </w:r>
      <w:r>
        <w:tab/>
      </w:r>
      <w:r>
        <w:tab/>
        <w:t>Dağıstan BİLGİÇ</w:t>
      </w:r>
    </w:p>
    <w:p w:rsidR="001F420D" w:rsidRDefault="001F420D" w:rsidP="001F420D">
      <w:pPr>
        <w:jc w:val="both"/>
      </w:pPr>
      <w:r>
        <w:t xml:space="preserve">Üye </w:t>
      </w:r>
      <w:r>
        <w:tab/>
      </w:r>
      <w:r>
        <w:tab/>
      </w:r>
      <w:r>
        <w:tab/>
      </w:r>
      <w:r>
        <w:tab/>
      </w:r>
      <w:r>
        <w:tab/>
      </w:r>
      <w:r>
        <w:tab/>
      </w:r>
      <w:r>
        <w:tab/>
      </w:r>
      <w:r>
        <w:tab/>
      </w:r>
      <w:r>
        <w:tab/>
      </w:r>
      <w:r>
        <w:tab/>
      </w:r>
      <w:r>
        <w:tab/>
      </w:r>
      <w:proofErr w:type="spellStart"/>
      <w:r>
        <w:t>Üye</w:t>
      </w:r>
      <w:proofErr w:type="spellEnd"/>
    </w:p>
    <w:p w:rsidR="001F420D" w:rsidRDefault="001F420D" w:rsidP="001F420D">
      <w:pPr>
        <w:jc w:val="both"/>
      </w:pPr>
    </w:p>
    <w:p w:rsidR="001F420D" w:rsidRDefault="001F420D" w:rsidP="001F420D">
      <w:pPr>
        <w:jc w:val="center"/>
      </w:pPr>
      <w:r>
        <w:t>TASDİK OLUNUR</w:t>
      </w:r>
    </w:p>
    <w:p w:rsidR="001F420D" w:rsidRDefault="001F420D" w:rsidP="001F420D">
      <w:pPr>
        <w:jc w:val="center"/>
      </w:pPr>
      <w:r>
        <w:t>23.05.2017</w:t>
      </w:r>
    </w:p>
    <w:p w:rsidR="001F420D" w:rsidRDefault="001F420D" w:rsidP="001F420D">
      <w:pPr>
        <w:jc w:val="center"/>
      </w:pPr>
    </w:p>
    <w:p w:rsidR="001F420D" w:rsidRDefault="001F420D" w:rsidP="001F420D">
      <w:pPr>
        <w:jc w:val="center"/>
      </w:pPr>
    </w:p>
    <w:p w:rsidR="001F420D" w:rsidRDefault="001F420D" w:rsidP="001F420D">
      <w:pPr>
        <w:jc w:val="center"/>
      </w:pPr>
      <w:r>
        <w:t>Murat ÇAYKARA</w:t>
      </w:r>
    </w:p>
    <w:p w:rsidR="001F420D" w:rsidRDefault="001F420D" w:rsidP="001F420D">
      <w:pPr>
        <w:jc w:val="center"/>
      </w:pPr>
      <w:r>
        <w:t>İl Genel Meclisi Başkanı</w:t>
      </w:r>
    </w:p>
    <w:p w:rsidR="00BD2AE4" w:rsidRDefault="00BD2AE4"/>
    <w:sectPr w:rsidR="00BD2AE4" w:rsidSect="001F420D">
      <w:pgSz w:w="11906" w:h="16838"/>
      <w:pgMar w:top="284" w:right="282"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529A"/>
    <w:multiLevelType w:val="hybridMultilevel"/>
    <w:tmpl w:val="26E0BACA"/>
    <w:lvl w:ilvl="0" w:tplc="A540182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7E"/>
    <w:rsid w:val="001F420D"/>
    <w:rsid w:val="0028457E"/>
    <w:rsid w:val="00BD2A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20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42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20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4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2017-06-13T11:25:00Z</dcterms:created>
  <dcterms:modified xsi:type="dcterms:W3CDTF">2017-06-13T11:26:00Z</dcterms:modified>
</cp:coreProperties>
</file>