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43" w:rsidRPr="00985284" w:rsidRDefault="00EE6D43" w:rsidP="00EE6D43">
      <w:pPr>
        <w:jc w:val="center"/>
        <w:rPr>
          <w:sz w:val="22"/>
          <w:szCs w:val="22"/>
        </w:rPr>
      </w:pPr>
      <w:r w:rsidRPr="00985284">
        <w:rPr>
          <w:sz w:val="22"/>
          <w:szCs w:val="22"/>
        </w:rPr>
        <w:t>İL GENEL MECLİSİ BAŞKANLIĞINA</w:t>
      </w:r>
    </w:p>
    <w:p w:rsidR="00EE6D43" w:rsidRDefault="00EE6D43" w:rsidP="00EE6D43">
      <w:pPr>
        <w:jc w:val="center"/>
        <w:rPr>
          <w:sz w:val="22"/>
          <w:szCs w:val="22"/>
        </w:rPr>
      </w:pPr>
      <w:r w:rsidRPr="00985284">
        <w:rPr>
          <w:sz w:val="22"/>
          <w:szCs w:val="22"/>
        </w:rPr>
        <w:t>(Plan ve Bütçe Komisyon Raporu)</w:t>
      </w:r>
    </w:p>
    <w:p w:rsidR="00EE6D43" w:rsidRDefault="00EE6D43" w:rsidP="00EE6D43">
      <w:pPr>
        <w:jc w:val="center"/>
        <w:rPr>
          <w:sz w:val="22"/>
          <w:szCs w:val="22"/>
        </w:rPr>
      </w:pPr>
    </w:p>
    <w:p w:rsidR="00EE6D43" w:rsidRDefault="00EE6D43" w:rsidP="00EE6D43">
      <w:pPr>
        <w:ind w:firstLine="708"/>
        <w:jc w:val="both"/>
        <w:rPr>
          <w:sz w:val="22"/>
          <w:szCs w:val="22"/>
        </w:rPr>
      </w:pPr>
      <w:r>
        <w:rPr>
          <w:sz w:val="22"/>
          <w:szCs w:val="22"/>
        </w:rPr>
        <w:t>İl Özel İdaresi Mali Hizmetler Müdürlüğü 22.11.2017 tarih ve 7238 sayılı yazılarında ödenek üstü harcamaya mahal verilmemesi için 2017 yılı bütçe bölümleri arasında aktarma yapılmasını istemiş, teklif gündeme alındıktan sonra Komisyonumuza havale edilmiştir. Komisyonumuz 24-27 Kasım 2017 tarihlerinde toplanarak çalışmasını tamamlamıştır.</w:t>
      </w:r>
    </w:p>
    <w:p w:rsidR="00EE6D43" w:rsidRDefault="00EE6D43" w:rsidP="00EE6D43">
      <w:pPr>
        <w:ind w:firstLine="708"/>
        <w:jc w:val="both"/>
        <w:rPr>
          <w:sz w:val="22"/>
          <w:szCs w:val="22"/>
        </w:rPr>
      </w:pPr>
      <w:r>
        <w:rPr>
          <w:sz w:val="22"/>
          <w:szCs w:val="22"/>
        </w:rPr>
        <w:t xml:space="preserve">2017 Yılı bütçe çalışmalarında, ihtiyaç ve planlamalar dikkate alınarak bütçenin birimler ve bölümler arası dağılımı yapılmış, ancak yıl içinde meydana gelen acil ihtiyaçlar ve planlamalarda olmayan yapımı hayati önem arz eden hizmetler uygulanmaya konması nedeniyle bazı bölümlerde ödeneğe ihtiyaç duyulmuştur. Ödenek üstü harcama yapılmaması için yıl sonuna kadar kullanılma </w:t>
      </w:r>
      <w:proofErr w:type="gramStart"/>
      <w:r>
        <w:rPr>
          <w:sz w:val="22"/>
          <w:szCs w:val="22"/>
        </w:rPr>
        <w:t>imkanı</w:t>
      </w:r>
      <w:proofErr w:type="gramEnd"/>
      <w:r>
        <w:rPr>
          <w:sz w:val="22"/>
          <w:szCs w:val="22"/>
        </w:rPr>
        <w:t xml:space="preserve"> olmayan bölümlerdeki ödeneklerin, ihtiyaç olan bölümlere    </w:t>
      </w:r>
    </w:p>
    <w:p w:rsidR="00EE6D43" w:rsidRDefault="00EE6D43" w:rsidP="00EE6D43">
      <w:pPr>
        <w:ind w:firstLine="708"/>
        <w:jc w:val="both"/>
        <w:rPr>
          <w:sz w:val="22"/>
          <w:szCs w:val="22"/>
        </w:rPr>
      </w:pPr>
    </w:p>
    <w:tbl>
      <w:tblPr>
        <w:tblW w:w="9582" w:type="dxa"/>
        <w:tblInd w:w="212" w:type="dxa"/>
        <w:tblCellMar>
          <w:left w:w="70" w:type="dxa"/>
          <w:right w:w="70" w:type="dxa"/>
        </w:tblCellMar>
        <w:tblLook w:val="04A0" w:firstRow="1" w:lastRow="0" w:firstColumn="1" w:lastColumn="0" w:noHBand="0" w:noVBand="1"/>
      </w:tblPr>
      <w:tblGrid>
        <w:gridCol w:w="1267"/>
        <w:gridCol w:w="518"/>
        <w:gridCol w:w="739"/>
        <w:gridCol w:w="4569"/>
        <w:gridCol w:w="1270"/>
        <w:gridCol w:w="1219"/>
      </w:tblGrid>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 xml:space="preserve">Fonksiyonel </w:t>
            </w:r>
          </w:p>
        </w:tc>
        <w:tc>
          <w:tcPr>
            <w:tcW w:w="518" w:type="dxa"/>
            <w:tcBorders>
              <w:top w:val="single" w:sz="4" w:space="0" w:color="000000"/>
              <w:left w:val="nil"/>
              <w:bottom w:val="single" w:sz="4" w:space="0" w:color="000000"/>
              <w:right w:val="single" w:sz="4" w:space="0" w:color="000000"/>
            </w:tcBorders>
            <w:shd w:val="clear" w:color="000000" w:fill="FFFFFF"/>
            <w:vAlign w:val="bottom"/>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F</w:t>
            </w:r>
          </w:p>
        </w:tc>
        <w:tc>
          <w:tcPr>
            <w:tcW w:w="739" w:type="dxa"/>
            <w:tcBorders>
              <w:top w:val="single" w:sz="4" w:space="0" w:color="000000"/>
              <w:left w:val="nil"/>
              <w:bottom w:val="single" w:sz="4" w:space="0" w:color="000000"/>
              <w:right w:val="single" w:sz="4" w:space="0" w:color="000000"/>
            </w:tcBorders>
            <w:shd w:val="clear" w:color="000000" w:fill="FFFFFF"/>
            <w:vAlign w:val="bottom"/>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Eko.</w:t>
            </w:r>
          </w:p>
        </w:tc>
        <w:tc>
          <w:tcPr>
            <w:tcW w:w="4569" w:type="dxa"/>
            <w:tcBorders>
              <w:top w:val="single" w:sz="8" w:space="0" w:color="808080"/>
              <w:left w:val="single" w:sz="8" w:space="0" w:color="808080"/>
              <w:bottom w:val="single" w:sz="8" w:space="0" w:color="808080"/>
              <w:right w:val="single" w:sz="8" w:space="0" w:color="808080"/>
            </w:tcBorders>
            <w:shd w:val="clear" w:color="000000" w:fill="FFFFFF"/>
          </w:tcPr>
          <w:p w:rsidR="00EE6D43" w:rsidRPr="00921494" w:rsidRDefault="00EE6D43" w:rsidP="00811E87">
            <w:pPr>
              <w:rPr>
                <w:rFonts w:ascii="Segoe UI" w:hAnsi="Segoe UI" w:cs="Segoe UI"/>
                <w:b/>
                <w:bCs/>
                <w:sz w:val="18"/>
                <w:szCs w:val="18"/>
              </w:rPr>
            </w:pPr>
            <w:r>
              <w:rPr>
                <w:rFonts w:ascii="Segoe UI" w:hAnsi="Segoe UI" w:cs="Segoe UI"/>
                <w:b/>
                <w:bCs/>
                <w:sz w:val="18"/>
                <w:szCs w:val="18"/>
              </w:rPr>
              <w:t>Ayrıntı adı</w:t>
            </w:r>
          </w:p>
        </w:tc>
        <w:tc>
          <w:tcPr>
            <w:tcW w:w="1270" w:type="dxa"/>
            <w:tcBorders>
              <w:top w:val="single" w:sz="8" w:space="0" w:color="808080"/>
              <w:left w:val="nil"/>
              <w:bottom w:val="single" w:sz="8" w:space="0" w:color="808080"/>
              <w:right w:val="single" w:sz="8" w:space="0" w:color="808080"/>
            </w:tcBorders>
            <w:shd w:val="clear" w:color="000000" w:fill="FFFFFF"/>
          </w:tcPr>
          <w:p w:rsidR="00EE6D43" w:rsidRPr="00921494" w:rsidRDefault="00EE6D43" w:rsidP="00811E87">
            <w:pPr>
              <w:jc w:val="right"/>
              <w:rPr>
                <w:rFonts w:ascii="Segoe UI" w:hAnsi="Segoe UI" w:cs="Segoe UI"/>
                <w:b/>
                <w:bCs/>
                <w:sz w:val="18"/>
                <w:szCs w:val="18"/>
              </w:rPr>
            </w:pPr>
            <w:r>
              <w:rPr>
                <w:rFonts w:ascii="Segoe UI" w:hAnsi="Segoe UI" w:cs="Segoe UI"/>
                <w:b/>
                <w:bCs/>
                <w:sz w:val="18"/>
                <w:szCs w:val="18"/>
              </w:rPr>
              <w:t>Eklenen</w:t>
            </w:r>
          </w:p>
        </w:tc>
        <w:tc>
          <w:tcPr>
            <w:tcW w:w="1219" w:type="dxa"/>
            <w:tcBorders>
              <w:top w:val="single" w:sz="8" w:space="0" w:color="808080"/>
              <w:left w:val="nil"/>
              <w:bottom w:val="single" w:sz="8" w:space="0" w:color="808080"/>
              <w:right w:val="single" w:sz="4" w:space="0" w:color="auto"/>
            </w:tcBorders>
            <w:shd w:val="clear" w:color="000000" w:fill="FFFFFF"/>
          </w:tcPr>
          <w:p w:rsidR="00EE6D43" w:rsidRPr="00921494" w:rsidRDefault="00EE6D43" w:rsidP="00811E87">
            <w:pPr>
              <w:jc w:val="right"/>
              <w:rPr>
                <w:rFonts w:ascii="Segoe UI" w:hAnsi="Segoe UI" w:cs="Segoe UI"/>
                <w:b/>
                <w:bCs/>
                <w:sz w:val="18"/>
                <w:szCs w:val="18"/>
              </w:rPr>
            </w:pPr>
            <w:r>
              <w:rPr>
                <w:rFonts w:ascii="Segoe UI" w:hAnsi="Segoe UI" w:cs="Segoe UI"/>
                <w:b/>
                <w:bCs/>
                <w:sz w:val="18"/>
                <w:szCs w:val="18"/>
              </w:rPr>
              <w:t>Eksilen</w:t>
            </w:r>
          </w:p>
        </w:tc>
      </w:tr>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03.06</w:t>
            </w:r>
          </w:p>
        </w:tc>
        <w:tc>
          <w:tcPr>
            <w:tcW w:w="4569" w:type="dxa"/>
            <w:tcBorders>
              <w:top w:val="single" w:sz="8" w:space="0" w:color="808080"/>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Temsil ve tanıtma giderleri</w:t>
            </w:r>
          </w:p>
        </w:tc>
        <w:tc>
          <w:tcPr>
            <w:tcW w:w="1270" w:type="dxa"/>
            <w:tcBorders>
              <w:top w:val="single" w:sz="8" w:space="0" w:color="808080"/>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single" w:sz="8" w:space="0" w:color="808080"/>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65.921,28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03.08</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Gayrimenkul mal bakım ve onarım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140.000,00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Gayrimenkul büyük onarım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15.989,00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01.3.1.00.000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1.718,08</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03.02</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Tüketime yönelik mal ve malzeme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7.633,06</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290.000,00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03.08</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Gayrimenkul mal bakım ve onarım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100.000,00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06.01</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Mamul mal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10.655,40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01.3.9.05.000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İl özel idaresi bina ve lojman deprem güçlendirme projesi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150.000,00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01.3.9.06.000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Kalkınma ajansı mali destek projeleri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1.280.000,00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03.1.9.00.000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03.02</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Tüketime yönelik mal ve malzeme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8.377,82</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8" w:space="0" w:color="808080"/>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05.2.0.01.000</w:t>
            </w:r>
          </w:p>
        </w:tc>
        <w:tc>
          <w:tcPr>
            <w:tcW w:w="518"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8</w:t>
            </w:r>
          </w:p>
        </w:tc>
        <w:tc>
          <w:tcPr>
            <w:tcW w:w="739"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Kanalizasyon tesisi yapım bakım ve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34.293,43</w:t>
            </w:r>
          </w:p>
        </w:tc>
      </w:tr>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06.3.0.00.000</w:t>
            </w:r>
          </w:p>
        </w:tc>
        <w:tc>
          <w:tcPr>
            <w:tcW w:w="518" w:type="dxa"/>
            <w:tcBorders>
              <w:top w:val="single" w:sz="4" w:space="0" w:color="000000"/>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000000"/>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7.320,00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06.3.0.01.000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06.01</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İçme suyu tesisi yapımı bakımı ve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21.240,00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06.3.0.01.000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İçme suyu tesisi yapımı bakımı ve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3.936,61</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8" w:space="0" w:color="808080"/>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07.4.0.24.000</w:t>
            </w:r>
          </w:p>
        </w:tc>
        <w:tc>
          <w:tcPr>
            <w:tcW w:w="518"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06.01</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proofErr w:type="gramStart"/>
            <w:r w:rsidRPr="00921494">
              <w:rPr>
                <w:rFonts w:ascii="Segoe UI" w:hAnsi="Segoe UI" w:cs="Segoe UI"/>
                <w:b/>
                <w:bCs/>
                <w:sz w:val="18"/>
                <w:szCs w:val="18"/>
              </w:rPr>
              <w:t>Uluslar arası</w:t>
            </w:r>
            <w:proofErr w:type="gramEnd"/>
            <w:r w:rsidRPr="00921494">
              <w:rPr>
                <w:rFonts w:ascii="Segoe UI" w:hAnsi="Segoe UI" w:cs="Segoe UI"/>
                <w:b/>
                <w:bCs/>
                <w:sz w:val="18"/>
                <w:szCs w:val="18"/>
              </w:rPr>
              <w:t xml:space="preserve"> medikal kurtarma ekibi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33.000,00 </w:t>
            </w:r>
          </w:p>
        </w:tc>
      </w:tr>
      <w:tr w:rsidR="00EE6D43" w:rsidRPr="00921494" w:rsidTr="00EE6D43">
        <w:trPr>
          <w:trHeight w:val="300"/>
        </w:trPr>
        <w:tc>
          <w:tcPr>
            <w:tcW w:w="1267" w:type="dxa"/>
            <w:tcBorders>
              <w:top w:val="nil"/>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10.7.0.08.000</w:t>
            </w:r>
          </w:p>
        </w:tc>
        <w:tc>
          <w:tcPr>
            <w:tcW w:w="518" w:type="dxa"/>
            <w:tcBorders>
              <w:top w:val="nil"/>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8</w:t>
            </w:r>
          </w:p>
        </w:tc>
        <w:tc>
          <w:tcPr>
            <w:tcW w:w="739" w:type="dxa"/>
            <w:tcBorders>
              <w:top w:val="nil"/>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Kırıkkale engelsiz yaşam merkezi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650,71</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03.02</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Tüketime yönelik mal ve malzeme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2.726,03</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290.000,00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06.03</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Gayri maddi hak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50.000,00 </w:t>
            </w:r>
          </w:p>
        </w:tc>
      </w:tr>
      <w:tr w:rsidR="00EE6D43" w:rsidRPr="00921494" w:rsidTr="00EE6D43">
        <w:trPr>
          <w:trHeight w:val="300"/>
        </w:trPr>
        <w:tc>
          <w:tcPr>
            <w:tcW w:w="1267" w:type="dxa"/>
            <w:tcBorders>
              <w:top w:val="single" w:sz="8" w:space="0" w:color="808080"/>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06.3.0.03.000</w:t>
            </w:r>
          </w:p>
        </w:tc>
        <w:tc>
          <w:tcPr>
            <w:tcW w:w="518"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03.08</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Sulama suyu kanal gölet yapım bakım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40.000,00 </w:t>
            </w:r>
          </w:p>
        </w:tc>
      </w:tr>
      <w:tr w:rsidR="00EE6D43" w:rsidRPr="00921494" w:rsidTr="00EE6D43">
        <w:trPr>
          <w:trHeight w:val="300"/>
        </w:trPr>
        <w:tc>
          <w:tcPr>
            <w:tcW w:w="1267" w:type="dxa"/>
            <w:tcBorders>
              <w:top w:val="nil"/>
              <w:left w:val="single" w:sz="4" w:space="0" w:color="000000"/>
              <w:bottom w:val="single" w:sz="8" w:space="0" w:color="80808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06.3.0.05.000</w:t>
            </w:r>
          </w:p>
        </w:tc>
        <w:tc>
          <w:tcPr>
            <w:tcW w:w="518" w:type="dxa"/>
            <w:tcBorders>
              <w:top w:val="nil"/>
              <w:left w:val="nil"/>
              <w:bottom w:val="single" w:sz="8" w:space="0" w:color="80808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8" w:space="0" w:color="80808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 xml:space="preserve">Köprüköy sulama suyu kanal </w:t>
            </w:r>
            <w:proofErr w:type="gramStart"/>
            <w:r w:rsidRPr="00921494">
              <w:rPr>
                <w:rFonts w:ascii="Segoe UI" w:hAnsi="Segoe UI" w:cs="Segoe UI"/>
                <w:b/>
                <w:bCs/>
                <w:sz w:val="18"/>
                <w:szCs w:val="18"/>
              </w:rPr>
              <w:t>tesisi  yapım</w:t>
            </w:r>
            <w:proofErr w:type="gramEnd"/>
            <w:r w:rsidRPr="00921494">
              <w:rPr>
                <w:rFonts w:ascii="Segoe UI" w:hAnsi="Segoe UI" w:cs="Segoe UI"/>
                <w:b/>
                <w:bCs/>
                <w:sz w:val="18"/>
                <w:szCs w:val="18"/>
              </w:rPr>
              <w:t xml:space="preserve"> işleri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50.000,00 </w:t>
            </w:r>
          </w:p>
        </w:tc>
      </w:tr>
      <w:tr w:rsidR="00EE6D43" w:rsidRPr="00921494" w:rsidTr="00EE6D43">
        <w:trPr>
          <w:trHeight w:val="300"/>
        </w:trPr>
        <w:tc>
          <w:tcPr>
            <w:tcW w:w="1267" w:type="dxa"/>
            <w:tcBorders>
              <w:top w:val="nil"/>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06.3.0.05.000</w:t>
            </w:r>
          </w:p>
        </w:tc>
        <w:tc>
          <w:tcPr>
            <w:tcW w:w="518" w:type="dxa"/>
            <w:tcBorders>
              <w:top w:val="nil"/>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Köprüköy sulama suyu kanal tesisi onarım işleri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150.000,00 </w:t>
            </w:r>
          </w:p>
        </w:tc>
      </w:tr>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710.000,00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8" w:space="0" w:color="808080"/>
              <w:left w:val="single" w:sz="4" w:space="0" w:color="000000"/>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05.2.0.01.000</w:t>
            </w:r>
          </w:p>
        </w:tc>
        <w:tc>
          <w:tcPr>
            <w:tcW w:w="518"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8</w:t>
            </w:r>
          </w:p>
        </w:tc>
        <w:tc>
          <w:tcPr>
            <w:tcW w:w="739" w:type="dxa"/>
            <w:tcBorders>
              <w:top w:val="single" w:sz="8" w:space="0" w:color="808080"/>
              <w:left w:val="nil"/>
              <w:bottom w:val="single" w:sz="8" w:space="0" w:color="80808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Kanalizasyon tesisi yapım bakım ve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34.293,43</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06.3.0.01.000</w:t>
            </w:r>
          </w:p>
        </w:tc>
        <w:tc>
          <w:tcPr>
            <w:tcW w:w="518"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000000"/>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İçme suyu tesisi yapımı bakımı ve onarımları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100.000,00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10.000,00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 xml:space="preserve">Menkul </w:t>
            </w:r>
            <w:proofErr w:type="spellStart"/>
            <w:proofErr w:type="gramStart"/>
            <w:r w:rsidRPr="00921494">
              <w:rPr>
                <w:rFonts w:ascii="Segoe UI" w:hAnsi="Segoe UI" w:cs="Segoe UI"/>
                <w:b/>
                <w:bCs/>
                <w:sz w:val="18"/>
                <w:szCs w:val="18"/>
              </w:rPr>
              <w:t>mal,gayrimaddi</w:t>
            </w:r>
            <w:proofErr w:type="spellEnd"/>
            <w:proofErr w:type="gramEnd"/>
            <w:r w:rsidRPr="00921494">
              <w:rPr>
                <w:rFonts w:ascii="Segoe UI" w:hAnsi="Segoe UI" w:cs="Segoe UI"/>
                <w:b/>
                <w:bCs/>
                <w:sz w:val="18"/>
                <w:szCs w:val="18"/>
              </w:rPr>
              <w:t xml:space="preserve"> hak alım, bakım ve onarım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9.256,94</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03.02</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Tüketime yönelik mal ve malzeme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120.000,00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Hizmet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10.000,00</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01.1.1.00.000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06.01</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Mamul mal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EE6D43">
            <w:pPr>
              <w:rPr>
                <w:rFonts w:ascii="Segoe UI" w:hAnsi="Segoe UI" w:cs="Segoe UI"/>
                <w:b/>
                <w:bCs/>
                <w:sz w:val="18"/>
                <w:szCs w:val="18"/>
              </w:rPr>
            </w:pPr>
            <w:r w:rsidRPr="00921494">
              <w:rPr>
                <w:rFonts w:ascii="Segoe UI" w:hAnsi="Segoe UI" w:cs="Segoe UI"/>
                <w:b/>
                <w:bCs/>
                <w:sz w:val="18"/>
                <w:szCs w:val="18"/>
              </w:rPr>
              <w:t xml:space="preserve">   100.000,00 </w:t>
            </w:r>
          </w:p>
        </w:tc>
      </w:tr>
      <w:tr w:rsidR="00EE6D43" w:rsidRPr="00921494" w:rsidTr="00EE6D43">
        <w:trPr>
          <w:trHeight w:val="300"/>
        </w:trPr>
        <w:tc>
          <w:tcPr>
            <w:tcW w:w="1267" w:type="dxa"/>
            <w:tcBorders>
              <w:top w:val="single" w:sz="4" w:space="0" w:color="auto"/>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lastRenderedPageBreak/>
              <w:t>01.3.9.00.000</w:t>
            </w:r>
          </w:p>
        </w:tc>
        <w:tc>
          <w:tcPr>
            <w:tcW w:w="518" w:type="dxa"/>
            <w:tcBorders>
              <w:top w:val="single" w:sz="4" w:space="0" w:color="auto"/>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auto"/>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06.01</w:t>
            </w:r>
          </w:p>
        </w:tc>
        <w:tc>
          <w:tcPr>
            <w:tcW w:w="4569" w:type="dxa"/>
            <w:tcBorders>
              <w:top w:val="single" w:sz="4" w:space="0" w:color="auto"/>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Mamul mal alımları</w:t>
            </w:r>
          </w:p>
        </w:tc>
        <w:tc>
          <w:tcPr>
            <w:tcW w:w="1270" w:type="dxa"/>
            <w:tcBorders>
              <w:top w:val="single" w:sz="4" w:space="0" w:color="auto"/>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22.758,95</w:t>
            </w:r>
          </w:p>
        </w:tc>
        <w:tc>
          <w:tcPr>
            <w:tcW w:w="1219" w:type="dxa"/>
            <w:tcBorders>
              <w:top w:val="single" w:sz="4" w:space="0" w:color="auto"/>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06.06</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Menkul malların büyük onarım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50.000,00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06.07</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Akaryakıt ve yağ alımları</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300.000,00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03.04</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Görev giderleri</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206.294,39</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10.7.0.00.000</w:t>
            </w:r>
          </w:p>
        </w:tc>
        <w:tc>
          <w:tcPr>
            <w:tcW w:w="518"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vAlign w:val="bottom"/>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05.04</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Hane halkına yapılan transferler</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xml:space="preserve">          50.000,00 </w:t>
            </w:r>
          </w:p>
        </w:tc>
      </w:tr>
      <w:tr w:rsidR="00EE6D43" w:rsidRPr="00921494" w:rsidTr="00EE6D43">
        <w:trPr>
          <w:trHeight w:val="300"/>
        </w:trPr>
        <w:tc>
          <w:tcPr>
            <w:tcW w:w="1267" w:type="dxa"/>
            <w:tcBorders>
              <w:top w:val="nil"/>
              <w:left w:val="single" w:sz="4" w:space="0" w:color="000000"/>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01.1.2.00.000</w:t>
            </w:r>
          </w:p>
        </w:tc>
        <w:tc>
          <w:tcPr>
            <w:tcW w:w="518"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nil"/>
              <w:left w:val="nil"/>
              <w:bottom w:val="single" w:sz="4" w:space="0" w:color="000000"/>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05.08</w:t>
            </w:r>
          </w:p>
        </w:tc>
        <w:tc>
          <w:tcPr>
            <w:tcW w:w="4569" w:type="dxa"/>
            <w:tcBorders>
              <w:top w:val="nil"/>
              <w:left w:val="single" w:sz="8" w:space="0" w:color="808080"/>
              <w:bottom w:val="single" w:sz="8" w:space="0" w:color="808080"/>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Gelirlerden ayrılan paylar</w:t>
            </w:r>
          </w:p>
        </w:tc>
        <w:tc>
          <w:tcPr>
            <w:tcW w:w="1270" w:type="dxa"/>
            <w:tcBorders>
              <w:top w:val="nil"/>
              <w:left w:val="nil"/>
              <w:bottom w:val="single" w:sz="8" w:space="0" w:color="808080"/>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131.954,59</w:t>
            </w:r>
          </w:p>
        </w:tc>
        <w:tc>
          <w:tcPr>
            <w:tcW w:w="1219" w:type="dxa"/>
            <w:tcBorders>
              <w:top w:val="nil"/>
              <w:left w:val="nil"/>
              <w:bottom w:val="single" w:sz="8" w:space="0" w:color="808080"/>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00"/>
        </w:trPr>
        <w:tc>
          <w:tcPr>
            <w:tcW w:w="1267" w:type="dxa"/>
            <w:tcBorders>
              <w:top w:val="single" w:sz="4" w:space="0" w:color="auto"/>
              <w:left w:val="single" w:sz="4" w:space="0" w:color="000000"/>
              <w:bottom w:val="single" w:sz="4" w:space="0" w:color="auto"/>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01.3.9.11.000</w:t>
            </w:r>
          </w:p>
        </w:tc>
        <w:tc>
          <w:tcPr>
            <w:tcW w:w="518" w:type="dxa"/>
            <w:tcBorders>
              <w:top w:val="single" w:sz="4" w:space="0" w:color="auto"/>
              <w:left w:val="nil"/>
              <w:bottom w:val="single" w:sz="4" w:space="0" w:color="auto"/>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5</w:t>
            </w:r>
          </w:p>
        </w:tc>
        <w:tc>
          <w:tcPr>
            <w:tcW w:w="739" w:type="dxa"/>
            <w:tcBorders>
              <w:top w:val="single" w:sz="4" w:space="0" w:color="auto"/>
              <w:left w:val="nil"/>
              <w:bottom w:val="single" w:sz="4" w:space="0" w:color="auto"/>
              <w:right w:val="single" w:sz="4" w:space="0" w:color="000000"/>
            </w:tcBorders>
            <w:shd w:val="clear" w:color="000000" w:fill="FFFFFF"/>
            <w:hideMark/>
          </w:tcPr>
          <w:p w:rsidR="00EE6D43" w:rsidRPr="00921494" w:rsidRDefault="00EE6D43" w:rsidP="00811E87">
            <w:pPr>
              <w:jc w:val="center"/>
              <w:rPr>
                <w:rFonts w:ascii="Segoe UI" w:hAnsi="Segoe UI" w:cs="Segoe UI"/>
                <w:b/>
                <w:bCs/>
                <w:sz w:val="18"/>
                <w:szCs w:val="18"/>
              </w:rPr>
            </w:pPr>
            <w:r w:rsidRPr="00921494">
              <w:rPr>
                <w:rFonts w:ascii="Segoe UI" w:hAnsi="Segoe UI" w:cs="Segoe UI"/>
                <w:b/>
                <w:bCs/>
                <w:sz w:val="18"/>
                <w:szCs w:val="18"/>
              </w:rPr>
              <w:t>03.05</w:t>
            </w:r>
          </w:p>
        </w:tc>
        <w:tc>
          <w:tcPr>
            <w:tcW w:w="4569" w:type="dxa"/>
            <w:tcBorders>
              <w:top w:val="single" w:sz="4" w:space="0" w:color="auto"/>
              <w:left w:val="single" w:sz="8" w:space="0" w:color="808080"/>
              <w:bottom w:val="single" w:sz="4" w:space="0" w:color="auto"/>
              <w:right w:val="single" w:sz="8" w:space="0" w:color="808080"/>
            </w:tcBorders>
            <w:shd w:val="clear" w:color="000000" w:fill="FFFFFF"/>
            <w:hideMark/>
          </w:tcPr>
          <w:p w:rsidR="00EE6D43" w:rsidRPr="00921494" w:rsidRDefault="00EE6D43" w:rsidP="00811E87">
            <w:pPr>
              <w:rPr>
                <w:rFonts w:ascii="Segoe UI" w:hAnsi="Segoe UI" w:cs="Segoe UI"/>
                <w:b/>
                <w:bCs/>
                <w:sz w:val="18"/>
                <w:szCs w:val="18"/>
              </w:rPr>
            </w:pPr>
            <w:r w:rsidRPr="00921494">
              <w:rPr>
                <w:rFonts w:ascii="Segoe UI" w:hAnsi="Segoe UI" w:cs="Segoe UI"/>
                <w:b/>
                <w:bCs/>
                <w:sz w:val="18"/>
                <w:szCs w:val="18"/>
              </w:rPr>
              <w:t>Belediyeler</w:t>
            </w:r>
          </w:p>
        </w:tc>
        <w:tc>
          <w:tcPr>
            <w:tcW w:w="1270" w:type="dxa"/>
            <w:tcBorders>
              <w:top w:val="single" w:sz="4" w:space="0" w:color="auto"/>
              <w:left w:val="nil"/>
              <w:bottom w:val="single" w:sz="4" w:space="0" w:color="auto"/>
              <w:right w:val="single" w:sz="8" w:space="0" w:color="808080"/>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99.060,41</w:t>
            </w:r>
          </w:p>
        </w:tc>
        <w:tc>
          <w:tcPr>
            <w:tcW w:w="1219" w:type="dxa"/>
            <w:tcBorders>
              <w:top w:val="single" w:sz="4" w:space="0" w:color="auto"/>
              <w:left w:val="nil"/>
              <w:bottom w:val="single" w:sz="4" w:space="0" w:color="auto"/>
              <w:right w:val="single" w:sz="4" w:space="0" w:color="auto"/>
            </w:tcBorders>
            <w:shd w:val="clear" w:color="000000" w:fill="FFFFFF"/>
            <w:hideMark/>
          </w:tcPr>
          <w:p w:rsidR="00EE6D43" w:rsidRPr="00921494" w:rsidRDefault="00EE6D43" w:rsidP="00811E87">
            <w:pPr>
              <w:jc w:val="right"/>
              <w:rPr>
                <w:rFonts w:ascii="Segoe UI" w:hAnsi="Segoe UI" w:cs="Segoe UI"/>
                <w:b/>
                <w:bCs/>
                <w:sz w:val="18"/>
                <w:szCs w:val="18"/>
              </w:rPr>
            </w:pPr>
            <w:r w:rsidRPr="00921494">
              <w:rPr>
                <w:rFonts w:ascii="Segoe UI" w:hAnsi="Segoe UI" w:cs="Segoe UI"/>
                <w:b/>
                <w:bCs/>
                <w:sz w:val="18"/>
                <w:szCs w:val="18"/>
              </w:rPr>
              <w:t> </w:t>
            </w:r>
          </w:p>
        </w:tc>
      </w:tr>
      <w:tr w:rsidR="00EE6D43" w:rsidRPr="00921494" w:rsidTr="00EE6D43">
        <w:trPr>
          <w:trHeight w:val="390"/>
        </w:trPr>
        <w:tc>
          <w:tcPr>
            <w:tcW w:w="1267" w:type="dxa"/>
            <w:tcBorders>
              <w:top w:val="single" w:sz="4" w:space="0" w:color="auto"/>
              <w:left w:val="single" w:sz="4" w:space="0" w:color="auto"/>
              <w:bottom w:val="single" w:sz="4" w:space="0" w:color="auto"/>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10.7.0.08.000</w:t>
            </w:r>
          </w:p>
        </w:tc>
        <w:tc>
          <w:tcPr>
            <w:tcW w:w="518" w:type="dxa"/>
            <w:tcBorders>
              <w:top w:val="single" w:sz="4" w:space="0" w:color="auto"/>
              <w:left w:val="nil"/>
              <w:bottom w:val="single" w:sz="4" w:space="0" w:color="auto"/>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8</w:t>
            </w:r>
          </w:p>
        </w:tc>
        <w:tc>
          <w:tcPr>
            <w:tcW w:w="739" w:type="dxa"/>
            <w:tcBorders>
              <w:top w:val="single" w:sz="4" w:space="0" w:color="auto"/>
              <w:left w:val="nil"/>
              <w:bottom w:val="single" w:sz="4" w:space="0" w:color="auto"/>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r>
              <w:rPr>
                <w:rFonts w:ascii="Segoe UI" w:hAnsi="Segoe UI" w:cs="Segoe UI"/>
                <w:b/>
                <w:bCs/>
                <w:sz w:val="18"/>
                <w:szCs w:val="18"/>
              </w:rPr>
              <w:t>03.07</w:t>
            </w:r>
          </w:p>
        </w:tc>
        <w:tc>
          <w:tcPr>
            <w:tcW w:w="4569" w:type="dxa"/>
            <w:tcBorders>
              <w:top w:val="single" w:sz="4" w:space="0" w:color="auto"/>
              <w:left w:val="single" w:sz="8" w:space="0" w:color="808080"/>
              <w:bottom w:val="single" w:sz="4" w:space="0" w:color="auto"/>
              <w:right w:val="single" w:sz="8" w:space="0" w:color="808080"/>
            </w:tcBorders>
            <w:shd w:val="clear" w:color="000000" w:fill="FFFFFF"/>
          </w:tcPr>
          <w:p w:rsidR="00EE6D43" w:rsidRPr="00921494" w:rsidRDefault="00EE6D43" w:rsidP="00811E87">
            <w:pPr>
              <w:rPr>
                <w:rFonts w:ascii="Segoe UI" w:hAnsi="Segoe UI" w:cs="Segoe UI"/>
                <w:b/>
                <w:bCs/>
                <w:sz w:val="18"/>
                <w:szCs w:val="18"/>
              </w:rPr>
            </w:pPr>
            <w:r>
              <w:rPr>
                <w:rFonts w:ascii="Segoe UI" w:hAnsi="Segoe UI" w:cs="Segoe UI"/>
                <w:b/>
                <w:bCs/>
                <w:sz w:val="18"/>
                <w:szCs w:val="18"/>
              </w:rPr>
              <w:t>Kırıkkale engelsiz yaşam merkezi</w:t>
            </w:r>
          </w:p>
        </w:tc>
        <w:tc>
          <w:tcPr>
            <w:tcW w:w="1270" w:type="dxa"/>
            <w:tcBorders>
              <w:top w:val="single" w:sz="4" w:space="0" w:color="auto"/>
              <w:left w:val="nil"/>
              <w:bottom w:val="single" w:sz="4" w:space="0" w:color="auto"/>
              <w:right w:val="single" w:sz="8" w:space="0" w:color="808080"/>
            </w:tcBorders>
            <w:shd w:val="clear" w:color="000000" w:fill="FFFFFF"/>
          </w:tcPr>
          <w:p w:rsidR="00EE6D43" w:rsidRPr="00921494" w:rsidRDefault="00EE6D43" w:rsidP="00811E87">
            <w:pPr>
              <w:jc w:val="right"/>
              <w:rPr>
                <w:rFonts w:ascii="Segoe UI" w:hAnsi="Segoe UI" w:cs="Segoe UI"/>
                <w:b/>
                <w:bCs/>
                <w:sz w:val="18"/>
                <w:szCs w:val="18"/>
              </w:rPr>
            </w:pPr>
          </w:p>
        </w:tc>
        <w:tc>
          <w:tcPr>
            <w:tcW w:w="1219" w:type="dxa"/>
            <w:tcBorders>
              <w:top w:val="single" w:sz="4" w:space="0" w:color="auto"/>
              <w:left w:val="nil"/>
              <w:bottom w:val="single" w:sz="4" w:space="0" w:color="auto"/>
              <w:right w:val="single" w:sz="4" w:space="0" w:color="auto"/>
            </w:tcBorders>
            <w:shd w:val="clear" w:color="000000" w:fill="FFFFFF"/>
          </w:tcPr>
          <w:p w:rsidR="00EE6D43" w:rsidRDefault="00EE6D43" w:rsidP="00811E87">
            <w:pPr>
              <w:jc w:val="right"/>
              <w:rPr>
                <w:rFonts w:ascii="Segoe UI" w:hAnsi="Segoe UI" w:cs="Segoe UI"/>
                <w:b/>
                <w:bCs/>
                <w:sz w:val="18"/>
                <w:szCs w:val="18"/>
              </w:rPr>
            </w:pPr>
            <w:r>
              <w:rPr>
                <w:rFonts w:ascii="Segoe UI" w:hAnsi="Segoe UI" w:cs="Segoe UI"/>
                <w:b/>
                <w:bCs/>
                <w:sz w:val="18"/>
                <w:szCs w:val="18"/>
              </w:rPr>
              <w:t>650,71</w:t>
            </w:r>
          </w:p>
          <w:p w:rsidR="00EE6D43" w:rsidRPr="00921494" w:rsidRDefault="00EE6D43" w:rsidP="00811E87">
            <w:pPr>
              <w:jc w:val="right"/>
              <w:rPr>
                <w:rFonts w:ascii="Segoe UI" w:hAnsi="Segoe UI" w:cs="Segoe UI"/>
                <w:b/>
                <w:bCs/>
                <w:sz w:val="18"/>
                <w:szCs w:val="18"/>
              </w:rPr>
            </w:pPr>
          </w:p>
        </w:tc>
      </w:tr>
      <w:tr w:rsidR="00EE6D43" w:rsidRPr="00921494" w:rsidTr="00EE6D43">
        <w:trPr>
          <w:trHeight w:val="315"/>
        </w:trPr>
        <w:tc>
          <w:tcPr>
            <w:tcW w:w="1267" w:type="dxa"/>
            <w:tcBorders>
              <w:top w:val="single" w:sz="4" w:space="0" w:color="auto"/>
              <w:left w:val="single" w:sz="4" w:space="0" w:color="auto"/>
              <w:bottom w:val="single" w:sz="4" w:space="0" w:color="000000"/>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p>
        </w:tc>
        <w:tc>
          <w:tcPr>
            <w:tcW w:w="518" w:type="dxa"/>
            <w:tcBorders>
              <w:top w:val="single" w:sz="4" w:space="0" w:color="auto"/>
              <w:left w:val="nil"/>
              <w:bottom w:val="single" w:sz="4" w:space="0" w:color="000000"/>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p>
        </w:tc>
        <w:tc>
          <w:tcPr>
            <w:tcW w:w="739" w:type="dxa"/>
            <w:tcBorders>
              <w:top w:val="single" w:sz="4" w:space="0" w:color="auto"/>
              <w:left w:val="nil"/>
              <w:bottom w:val="single" w:sz="4" w:space="0" w:color="000000"/>
              <w:right w:val="single" w:sz="4" w:space="0" w:color="000000"/>
            </w:tcBorders>
            <w:shd w:val="clear" w:color="000000" w:fill="FFFFFF"/>
          </w:tcPr>
          <w:p w:rsidR="00EE6D43" w:rsidRPr="00921494" w:rsidRDefault="00EE6D43" w:rsidP="00811E87">
            <w:pPr>
              <w:jc w:val="center"/>
              <w:rPr>
                <w:rFonts w:ascii="Segoe UI" w:hAnsi="Segoe UI" w:cs="Segoe UI"/>
                <w:b/>
                <w:bCs/>
                <w:sz w:val="18"/>
                <w:szCs w:val="18"/>
              </w:rPr>
            </w:pPr>
          </w:p>
        </w:tc>
        <w:tc>
          <w:tcPr>
            <w:tcW w:w="4569" w:type="dxa"/>
            <w:tcBorders>
              <w:top w:val="single" w:sz="4" w:space="0" w:color="auto"/>
              <w:left w:val="single" w:sz="8" w:space="0" w:color="808080"/>
              <w:bottom w:val="single" w:sz="8" w:space="0" w:color="808080"/>
              <w:right w:val="single" w:sz="8" w:space="0" w:color="808080"/>
            </w:tcBorders>
            <w:shd w:val="clear" w:color="000000" w:fill="FFFFFF"/>
          </w:tcPr>
          <w:p w:rsidR="00EE6D43" w:rsidRPr="00921494" w:rsidRDefault="00EE6D43" w:rsidP="00811E87">
            <w:pPr>
              <w:rPr>
                <w:rFonts w:ascii="Segoe UI" w:hAnsi="Segoe UI" w:cs="Segoe UI"/>
                <w:b/>
                <w:bCs/>
                <w:sz w:val="18"/>
                <w:szCs w:val="18"/>
              </w:rPr>
            </w:pPr>
            <w:r>
              <w:rPr>
                <w:rFonts w:ascii="Segoe UI" w:hAnsi="Segoe UI" w:cs="Segoe UI"/>
                <w:b/>
                <w:bCs/>
                <w:sz w:val="18"/>
                <w:szCs w:val="18"/>
              </w:rPr>
              <w:t>Toplam</w:t>
            </w:r>
          </w:p>
        </w:tc>
        <w:tc>
          <w:tcPr>
            <w:tcW w:w="1270" w:type="dxa"/>
            <w:tcBorders>
              <w:top w:val="single" w:sz="4" w:space="0" w:color="auto"/>
              <w:left w:val="nil"/>
              <w:bottom w:val="single" w:sz="8" w:space="0" w:color="808080"/>
              <w:right w:val="single" w:sz="8" w:space="0" w:color="808080"/>
            </w:tcBorders>
            <w:shd w:val="clear" w:color="000000" w:fill="FFFFFF"/>
          </w:tcPr>
          <w:p w:rsidR="00EE6D43" w:rsidRPr="00921494" w:rsidRDefault="00EE6D43" w:rsidP="00811E87">
            <w:pPr>
              <w:jc w:val="right"/>
              <w:rPr>
                <w:rFonts w:ascii="Segoe UI" w:hAnsi="Segoe UI" w:cs="Segoe UI"/>
                <w:b/>
                <w:bCs/>
                <w:sz w:val="18"/>
                <w:szCs w:val="18"/>
              </w:rPr>
            </w:pPr>
            <w:r>
              <w:rPr>
                <w:rFonts w:ascii="Segoe UI" w:hAnsi="Segoe UI" w:cs="Segoe UI"/>
                <w:b/>
                <w:bCs/>
                <w:sz w:val="18"/>
                <w:szCs w:val="18"/>
              </w:rPr>
              <w:t>2.353.865.42</w:t>
            </w:r>
          </w:p>
        </w:tc>
        <w:tc>
          <w:tcPr>
            <w:tcW w:w="1219" w:type="dxa"/>
            <w:tcBorders>
              <w:top w:val="single" w:sz="4" w:space="0" w:color="auto"/>
              <w:left w:val="nil"/>
              <w:bottom w:val="single" w:sz="8" w:space="0" w:color="808080"/>
              <w:right w:val="single" w:sz="4" w:space="0" w:color="auto"/>
            </w:tcBorders>
            <w:shd w:val="clear" w:color="000000" w:fill="FFFFFF"/>
          </w:tcPr>
          <w:p w:rsidR="00EE6D43" w:rsidRDefault="00EE6D43" w:rsidP="00811E87">
            <w:pPr>
              <w:jc w:val="right"/>
              <w:rPr>
                <w:rFonts w:ascii="Segoe UI" w:hAnsi="Segoe UI" w:cs="Segoe UI"/>
                <w:b/>
                <w:bCs/>
                <w:sz w:val="18"/>
                <w:szCs w:val="18"/>
              </w:rPr>
            </w:pPr>
            <w:r>
              <w:rPr>
                <w:rFonts w:ascii="Segoe UI" w:hAnsi="Segoe UI" w:cs="Segoe UI"/>
                <w:b/>
                <w:bCs/>
                <w:sz w:val="18"/>
                <w:szCs w:val="18"/>
              </w:rPr>
              <w:t>2.353.865,42</w:t>
            </w:r>
          </w:p>
        </w:tc>
      </w:tr>
    </w:tbl>
    <w:p w:rsidR="00EE6D43" w:rsidRDefault="00EE6D43" w:rsidP="00EE6D43">
      <w:pPr>
        <w:ind w:left="-993"/>
        <w:jc w:val="center"/>
        <w:rPr>
          <w:b/>
          <w:bCs/>
          <w:sz w:val="36"/>
          <w:szCs w:val="36"/>
        </w:rPr>
      </w:pPr>
    </w:p>
    <w:p w:rsidR="00EE6D43" w:rsidRDefault="00EE6D43" w:rsidP="00EE6D43">
      <w:pPr>
        <w:ind w:left="-709"/>
        <w:jc w:val="center"/>
        <w:rPr>
          <w:sz w:val="22"/>
          <w:szCs w:val="22"/>
        </w:rPr>
      </w:pPr>
      <w:bookmarkStart w:id="0" w:name="_GoBack"/>
      <w:bookmarkEnd w:id="0"/>
    </w:p>
    <w:p w:rsidR="00EE6D43" w:rsidRDefault="00EE6D43" w:rsidP="00EE6D43">
      <w:pPr>
        <w:jc w:val="center"/>
        <w:rPr>
          <w:sz w:val="22"/>
          <w:szCs w:val="22"/>
        </w:rPr>
      </w:pPr>
    </w:p>
    <w:p w:rsidR="00EE6D43" w:rsidRDefault="00EE6D43" w:rsidP="00EE6D43">
      <w:pPr>
        <w:jc w:val="both"/>
      </w:pPr>
      <w:r>
        <w:rPr>
          <w:sz w:val="22"/>
          <w:szCs w:val="22"/>
        </w:rPr>
        <w:tab/>
        <w:t xml:space="preserve">5302 Sayılı yasa kapsamında verilen önergeler gündeme alındıktan sonra Komisyonumuza havale </w:t>
      </w:r>
    </w:p>
    <w:p w:rsidR="00EE6D43" w:rsidRDefault="00EE6D43" w:rsidP="00EE6D43">
      <w:pPr>
        <w:jc w:val="both"/>
      </w:pPr>
    </w:p>
    <w:p w:rsidR="00EE6D43" w:rsidRDefault="00EE6D43" w:rsidP="00EE6D43">
      <w:pPr>
        <w:jc w:val="both"/>
      </w:pPr>
      <w:r>
        <w:tab/>
      </w:r>
    </w:p>
    <w:p w:rsidR="00EE6D43" w:rsidRPr="00985284" w:rsidRDefault="00EE6D43" w:rsidP="00EE6D43">
      <w:pPr>
        <w:jc w:val="both"/>
        <w:rPr>
          <w:sz w:val="22"/>
          <w:szCs w:val="22"/>
        </w:rPr>
      </w:pPr>
      <w:r>
        <w:rPr>
          <w:sz w:val="22"/>
          <w:szCs w:val="22"/>
        </w:rPr>
        <w:t>Yılmaz CEBECİ</w:t>
      </w:r>
      <w:r w:rsidRPr="00985284">
        <w:rPr>
          <w:sz w:val="22"/>
          <w:szCs w:val="22"/>
        </w:rPr>
        <w:tab/>
      </w:r>
      <w:r>
        <w:rPr>
          <w:sz w:val="22"/>
          <w:szCs w:val="22"/>
        </w:rPr>
        <w:t xml:space="preserve"> </w:t>
      </w:r>
      <w:r w:rsidRPr="00985284">
        <w:rPr>
          <w:sz w:val="22"/>
          <w:szCs w:val="22"/>
        </w:rPr>
        <w:t>H. Ömer ÖRSDEMİR</w:t>
      </w:r>
      <w:r w:rsidRPr="00985284">
        <w:rPr>
          <w:sz w:val="22"/>
          <w:szCs w:val="22"/>
        </w:rPr>
        <w:tab/>
      </w:r>
      <w:r>
        <w:rPr>
          <w:sz w:val="22"/>
          <w:szCs w:val="22"/>
        </w:rPr>
        <w:t xml:space="preserve">           </w:t>
      </w:r>
      <w:r w:rsidRPr="00985284">
        <w:rPr>
          <w:sz w:val="22"/>
          <w:szCs w:val="22"/>
        </w:rPr>
        <w:t>Ferit OLUK</w:t>
      </w:r>
      <w:r w:rsidRPr="00985284">
        <w:rPr>
          <w:sz w:val="22"/>
          <w:szCs w:val="22"/>
        </w:rPr>
        <w:tab/>
      </w:r>
      <w:r w:rsidRPr="00985284">
        <w:rPr>
          <w:sz w:val="22"/>
          <w:szCs w:val="22"/>
        </w:rPr>
        <w:tab/>
      </w:r>
      <w:r>
        <w:rPr>
          <w:sz w:val="22"/>
          <w:szCs w:val="22"/>
        </w:rPr>
        <w:t xml:space="preserve"> </w:t>
      </w:r>
      <w:proofErr w:type="gramStart"/>
      <w:r>
        <w:rPr>
          <w:sz w:val="22"/>
          <w:szCs w:val="22"/>
        </w:rPr>
        <w:t>Mustafa  GÜNDÜZ</w:t>
      </w:r>
      <w:proofErr w:type="gramEnd"/>
    </w:p>
    <w:p w:rsidR="00EE6D43" w:rsidRPr="00985284" w:rsidRDefault="00EE6D43" w:rsidP="00EE6D43">
      <w:pPr>
        <w:jc w:val="both"/>
        <w:rPr>
          <w:sz w:val="22"/>
          <w:szCs w:val="22"/>
        </w:rPr>
      </w:pPr>
      <w:r w:rsidRPr="00985284">
        <w:rPr>
          <w:sz w:val="22"/>
          <w:szCs w:val="22"/>
        </w:rPr>
        <w:t>Komisyon Başkanı</w:t>
      </w:r>
      <w:r w:rsidRPr="00985284">
        <w:rPr>
          <w:sz w:val="22"/>
          <w:szCs w:val="22"/>
        </w:rPr>
        <w:tab/>
      </w:r>
      <w:r>
        <w:rPr>
          <w:sz w:val="22"/>
          <w:szCs w:val="22"/>
        </w:rPr>
        <w:t xml:space="preserve"> </w:t>
      </w:r>
      <w:r w:rsidRPr="00985284">
        <w:rPr>
          <w:sz w:val="22"/>
          <w:szCs w:val="22"/>
        </w:rPr>
        <w:t>Başkan Yardımcısı</w:t>
      </w:r>
      <w:r w:rsidRPr="00985284">
        <w:rPr>
          <w:sz w:val="22"/>
          <w:szCs w:val="22"/>
        </w:rPr>
        <w:tab/>
      </w:r>
      <w:r>
        <w:rPr>
          <w:sz w:val="22"/>
          <w:szCs w:val="22"/>
        </w:rPr>
        <w:t xml:space="preserve">              </w:t>
      </w:r>
      <w:r w:rsidRPr="00985284">
        <w:rPr>
          <w:sz w:val="22"/>
          <w:szCs w:val="22"/>
        </w:rPr>
        <w:t>Sözcü</w:t>
      </w:r>
      <w:r w:rsidRPr="00985284">
        <w:rPr>
          <w:sz w:val="22"/>
          <w:szCs w:val="22"/>
        </w:rPr>
        <w:tab/>
      </w:r>
      <w:r w:rsidRPr="00985284">
        <w:rPr>
          <w:sz w:val="22"/>
          <w:szCs w:val="22"/>
        </w:rPr>
        <w:tab/>
      </w:r>
      <w:r>
        <w:rPr>
          <w:sz w:val="22"/>
          <w:szCs w:val="22"/>
        </w:rPr>
        <w:t xml:space="preserve">                       </w:t>
      </w:r>
      <w:r w:rsidRPr="00985284">
        <w:rPr>
          <w:sz w:val="22"/>
          <w:szCs w:val="22"/>
        </w:rPr>
        <w:t>Üye</w:t>
      </w:r>
      <w:r>
        <w:rPr>
          <w:sz w:val="22"/>
          <w:szCs w:val="22"/>
        </w:rPr>
        <w:t xml:space="preserve">                                  </w:t>
      </w:r>
    </w:p>
    <w:p w:rsidR="00EE6D43" w:rsidRPr="00985284" w:rsidRDefault="00EE6D43" w:rsidP="00EE6D43">
      <w:pPr>
        <w:jc w:val="both"/>
        <w:rPr>
          <w:sz w:val="22"/>
          <w:szCs w:val="22"/>
        </w:rPr>
      </w:pPr>
    </w:p>
    <w:p w:rsidR="00EE6D43" w:rsidRPr="00985284" w:rsidRDefault="00EE6D43" w:rsidP="00EE6D43">
      <w:pPr>
        <w:jc w:val="both"/>
        <w:rPr>
          <w:sz w:val="22"/>
          <w:szCs w:val="22"/>
        </w:rPr>
      </w:pPr>
    </w:p>
    <w:p w:rsidR="00EE6D43" w:rsidRDefault="00EE6D43" w:rsidP="00EE6D43">
      <w:pPr>
        <w:jc w:val="both"/>
        <w:rPr>
          <w:sz w:val="22"/>
          <w:szCs w:val="22"/>
        </w:rPr>
      </w:pPr>
    </w:p>
    <w:p w:rsidR="00EE6D43" w:rsidRDefault="00EE6D43" w:rsidP="00EE6D43">
      <w:pPr>
        <w:jc w:val="both"/>
        <w:rPr>
          <w:sz w:val="22"/>
          <w:szCs w:val="22"/>
        </w:rPr>
      </w:pPr>
    </w:p>
    <w:p w:rsidR="00EE6D43" w:rsidRDefault="00EE6D43" w:rsidP="00EE6D43">
      <w:pPr>
        <w:jc w:val="both"/>
        <w:rPr>
          <w:sz w:val="22"/>
          <w:szCs w:val="22"/>
        </w:rPr>
      </w:pPr>
    </w:p>
    <w:p w:rsidR="00EE6D43" w:rsidRDefault="00EE6D43" w:rsidP="00EE6D43">
      <w:pPr>
        <w:jc w:val="both"/>
        <w:rPr>
          <w:sz w:val="22"/>
          <w:szCs w:val="22"/>
        </w:rPr>
      </w:pPr>
    </w:p>
    <w:p w:rsidR="00EE6D43" w:rsidRPr="00985284" w:rsidRDefault="00EE6D43" w:rsidP="00EE6D43">
      <w:pPr>
        <w:jc w:val="both"/>
        <w:rPr>
          <w:sz w:val="22"/>
          <w:szCs w:val="22"/>
        </w:rPr>
      </w:pPr>
    </w:p>
    <w:p w:rsidR="00EE6D43" w:rsidRPr="00985284" w:rsidRDefault="00EE6D43" w:rsidP="00EE6D43">
      <w:pPr>
        <w:jc w:val="both"/>
        <w:rPr>
          <w:sz w:val="22"/>
          <w:szCs w:val="22"/>
        </w:rPr>
      </w:pPr>
    </w:p>
    <w:p w:rsidR="00EE6D43" w:rsidRPr="00985284" w:rsidRDefault="00EE6D43" w:rsidP="00EE6D43">
      <w:pPr>
        <w:jc w:val="both"/>
        <w:rPr>
          <w:sz w:val="22"/>
          <w:szCs w:val="22"/>
        </w:rPr>
      </w:pPr>
      <w:r w:rsidRPr="00985284">
        <w:rPr>
          <w:sz w:val="22"/>
          <w:szCs w:val="22"/>
        </w:rPr>
        <w:t>Ahmet DEMİRBİLEK</w:t>
      </w:r>
      <w:r w:rsidRPr="00985284">
        <w:rPr>
          <w:sz w:val="22"/>
          <w:szCs w:val="22"/>
        </w:rPr>
        <w:tab/>
      </w:r>
      <w:r w:rsidRPr="00985284">
        <w:rPr>
          <w:sz w:val="22"/>
          <w:szCs w:val="22"/>
        </w:rPr>
        <w:tab/>
      </w:r>
      <w:r w:rsidRPr="00985284">
        <w:rPr>
          <w:sz w:val="22"/>
          <w:szCs w:val="22"/>
        </w:rPr>
        <w:tab/>
      </w:r>
      <w:r>
        <w:rPr>
          <w:sz w:val="22"/>
          <w:szCs w:val="22"/>
        </w:rPr>
        <w:t xml:space="preserve">                                                                            </w:t>
      </w:r>
      <w:r w:rsidRPr="00985284">
        <w:rPr>
          <w:sz w:val="22"/>
          <w:szCs w:val="22"/>
        </w:rPr>
        <w:t>Dağıstan BİLGİÇ</w:t>
      </w:r>
    </w:p>
    <w:p w:rsidR="00EE6D43" w:rsidRPr="00985284" w:rsidRDefault="00EE6D43" w:rsidP="00EE6D43">
      <w:pPr>
        <w:jc w:val="both"/>
        <w:rPr>
          <w:sz w:val="22"/>
          <w:szCs w:val="22"/>
        </w:rPr>
      </w:pPr>
      <w:r>
        <w:rPr>
          <w:sz w:val="22"/>
          <w:szCs w:val="22"/>
        </w:rPr>
        <w:t xml:space="preserve">          </w:t>
      </w:r>
      <w:r w:rsidRPr="00985284">
        <w:rPr>
          <w:sz w:val="22"/>
          <w:szCs w:val="22"/>
        </w:rPr>
        <w:t>Üye</w:t>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Pr>
          <w:sz w:val="22"/>
          <w:szCs w:val="22"/>
        </w:rPr>
        <w:t xml:space="preserve"> </w:t>
      </w:r>
      <w:proofErr w:type="spellStart"/>
      <w:r w:rsidRPr="00985284">
        <w:rPr>
          <w:sz w:val="22"/>
          <w:szCs w:val="22"/>
        </w:rPr>
        <w:t>Üye</w:t>
      </w:r>
      <w:proofErr w:type="spellEnd"/>
    </w:p>
    <w:p w:rsidR="00EE6D43" w:rsidRPr="00985284" w:rsidRDefault="00EE6D43" w:rsidP="00EE6D43">
      <w:pPr>
        <w:jc w:val="center"/>
        <w:rPr>
          <w:sz w:val="22"/>
          <w:szCs w:val="22"/>
        </w:rPr>
      </w:pPr>
    </w:p>
    <w:p w:rsidR="00EE6D43" w:rsidRDefault="00EE6D43" w:rsidP="00EE6D43">
      <w:pPr>
        <w:ind w:firstLine="708"/>
        <w:jc w:val="both"/>
      </w:pPr>
    </w:p>
    <w:p w:rsidR="00EE6D43" w:rsidRDefault="00EE6D43" w:rsidP="00EE6D43">
      <w:pPr>
        <w:jc w:val="both"/>
      </w:pPr>
    </w:p>
    <w:p w:rsidR="00EE6D43" w:rsidRDefault="00EE6D43" w:rsidP="00EE6D43">
      <w:pPr>
        <w:jc w:val="both"/>
      </w:pPr>
    </w:p>
    <w:p w:rsidR="00EE6D43" w:rsidRPr="00985284" w:rsidRDefault="00EE6D43" w:rsidP="00EE6D43">
      <w:pPr>
        <w:jc w:val="center"/>
        <w:rPr>
          <w:sz w:val="22"/>
          <w:szCs w:val="22"/>
        </w:rPr>
      </w:pPr>
    </w:p>
    <w:p w:rsidR="00EE6D43" w:rsidRDefault="00EE6D43" w:rsidP="00EE6D43">
      <w:pPr>
        <w:jc w:val="center"/>
        <w:rPr>
          <w:sz w:val="22"/>
          <w:szCs w:val="22"/>
        </w:rPr>
      </w:pPr>
    </w:p>
    <w:p w:rsidR="00EE6D43" w:rsidRDefault="00EE6D43" w:rsidP="00EE6D43">
      <w:pPr>
        <w:jc w:val="center"/>
        <w:rPr>
          <w:sz w:val="22"/>
          <w:szCs w:val="22"/>
        </w:rPr>
      </w:pPr>
    </w:p>
    <w:p w:rsidR="00EE6D43" w:rsidRDefault="00EE6D43" w:rsidP="00EE6D43">
      <w:pPr>
        <w:jc w:val="center"/>
        <w:rPr>
          <w:sz w:val="22"/>
          <w:szCs w:val="22"/>
        </w:rPr>
      </w:pPr>
    </w:p>
    <w:p w:rsidR="00EE6D43" w:rsidRPr="00985284" w:rsidRDefault="00EE6D43" w:rsidP="00EE6D43">
      <w:pPr>
        <w:jc w:val="center"/>
        <w:rPr>
          <w:sz w:val="22"/>
          <w:szCs w:val="22"/>
        </w:rPr>
      </w:pPr>
    </w:p>
    <w:p w:rsidR="00EE6D43" w:rsidRPr="00985284" w:rsidRDefault="00EE6D43" w:rsidP="00EE6D43">
      <w:pPr>
        <w:jc w:val="center"/>
        <w:rPr>
          <w:sz w:val="22"/>
          <w:szCs w:val="22"/>
        </w:rPr>
      </w:pPr>
      <w:r w:rsidRPr="00985284">
        <w:rPr>
          <w:sz w:val="22"/>
          <w:szCs w:val="22"/>
        </w:rPr>
        <w:t>TASDİK OLUNUR</w:t>
      </w:r>
    </w:p>
    <w:p w:rsidR="00EE6D43" w:rsidRPr="00985284" w:rsidRDefault="00EE6D43" w:rsidP="00EE6D43">
      <w:pPr>
        <w:jc w:val="center"/>
        <w:rPr>
          <w:sz w:val="22"/>
          <w:szCs w:val="22"/>
        </w:rPr>
      </w:pPr>
      <w:r>
        <w:rPr>
          <w:sz w:val="22"/>
          <w:szCs w:val="22"/>
        </w:rPr>
        <w:t>05.10</w:t>
      </w:r>
      <w:r w:rsidRPr="00985284">
        <w:rPr>
          <w:sz w:val="22"/>
          <w:szCs w:val="22"/>
        </w:rPr>
        <w:t>.2017</w:t>
      </w:r>
    </w:p>
    <w:p w:rsidR="00EE6D43" w:rsidRPr="00985284" w:rsidRDefault="00EE6D43" w:rsidP="00EE6D43">
      <w:pPr>
        <w:jc w:val="center"/>
        <w:rPr>
          <w:sz w:val="22"/>
          <w:szCs w:val="22"/>
        </w:rPr>
      </w:pPr>
    </w:p>
    <w:p w:rsidR="00EE6D43" w:rsidRPr="00985284" w:rsidRDefault="00EE6D43" w:rsidP="00EE6D43">
      <w:pPr>
        <w:jc w:val="center"/>
        <w:rPr>
          <w:sz w:val="22"/>
          <w:szCs w:val="22"/>
        </w:rPr>
      </w:pPr>
      <w:r w:rsidRPr="00985284">
        <w:rPr>
          <w:sz w:val="22"/>
          <w:szCs w:val="22"/>
        </w:rPr>
        <w:t>Murat ÇAYKARA</w:t>
      </w:r>
    </w:p>
    <w:p w:rsidR="00EE6D43" w:rsidRPr="00985284" w:rsidRDefault="00EE6D43" w:rsidP="00EE6D43">
      <w:pPr>
        <w:jc w:val="center"/>
        <w:rPr>
          <w:sz w:val="22"/>
          <w:szCs w:val="22"/>
        </w:rPr>
      </w:pPr>
      <w:r w:rsidRPr="00985284">
        <w:rPr>
          <w:sz w:val="22"/>
          <w:szCs w:val="22"/>
        </w:rPr>
        <w:t>İl Genel Meclisi Başkanı</w:t>
      </w:r>
    </w:p>
    <w:p w:rsidR="002F6253" w:rsidRDefault="002F6253"/>
    <w:sectPr w:rsidR="002F6253" w:rsidSect="00EE6D43">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33"/>
    <w:rsid w:val="002F6253"/>
    <w:rsid w:val="00916533"/>
    <w:rsid w:val="00EE6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2017-12-26T07:23:00Z</dcterms:created>
  <dcterms:modified xsi:type="dcterms:W3CDTF">2017-12-26T07:24:00Z</dcterms:modified>
</cp:coreProperties>
</file>