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AE" w:rsidRDefault="008701AE" w:rsidP="008701AE">
      <w:pPr>
        <w:jc w:val="center"/>
      </w:pPr>
      <w:r>
        <w:t>DOĞRUDAN TEMİN İLAN</w:t>
      </w:r>
    </w:p>
    <w:p w:rsidR="008701AE" w:rsidRDefault="008701AE" w:rsidP="008701AE">
      <w:r>
        <w:tab/>
      </w:r>
      <w:r w:rsidRPr="00B31D58">
        <w:rPr>
          <w:bCs/>
        </w:rPr>
        <w:t>KIRIKKALE İL ÖZEL İDARESİNE AİT ME</w:t>
      </w:r>
      <w:r>
        <w:rPr>
          <w:bCs/>
        </w:rPr>
        <w:t xml:space="preserve">CLİS BİNASI ALTINDA BULUNAN 2 </w:t>
      </w:r>
      <w:r w:rsidRPr="00B31D58">
        <w:rPr>
          <w:bCs/>
        </w:rPr>
        <w:t xml:space="preserve">ADET </w:t>
      </w:r>
      <w:proofErr w:type="gramStart"/>
      <w:r>
        <w:rPr>
          <w:bCs/>
        </w:rPr>
        <w:t>DÜKKA</w:t>
      </w:r>
      <w:r w:rsidRPr="00B31D58">
        <w:rPr>
          <w:bCs/>
        </w:rPr>
        <w:t>N</w:t>
      </w:r>
      <w:r>
        <w:rPr>
          <w:bCs/>
        </w:rPr>
        <w:t>IN</w:t>
      </w:r>
      <w:proofErr w:type="gramEnd"/>
      <w:r w:rsidRPr="00B31D58">
        <w:rPr>
          <w:bCs/>
        </w:rPr>
        <w:t xml:space="preserve"> </w:t>
      </w:r>
      <w:r>
        <w:rPr>
          <w:bCs/>
        </w:rPr>
        <w:t xml:space="preserve">DOĞALGAZ TESİSATININ YENİLEMESİ </w:t>
      </w:r>
      <w:proofErr w:type="spellStart"/>
      <w:r>
        <w:rPr>
          <w:bCs/>
        </w:rPr>
        <w:t>İŞİ’</w:t>
      </w:r>
      <w:r>
        <w:t>nin</w:t>
      </w:r>
      <w:proofErr w:type="spellEnd"/>
      <w:r>
        <w:t xml:space="preserve"> </w:t>
      </w:r>
      <w:r w:rsidRPr="000C2B2F">
        <w:t>4734 sayılı Kamu İhale Kanunun 22.maddesi (d) bendi</w:t>
      </w:r>
      <w:r>
        <w:t xml:space="preserve"> gereğince Doğrudan Temin yöntemiyle piyasaya yaptırılacaktır. Yaptırılacak olan işler için teknik şartname ve detayları aşağıda belirtilmektedir</w:t>
      </w:r>
    </w:p>
    <w:p w:rsidR="008701AE" w:rsidRDefault="008701AE" w:rsidP="008701AE">
      <w:r>
        <w:tab/>
        <w:t xml:space="preserve"> Teklif vermek iste</w:t>
      </w:r>
      <w:r w:rsidR="00ED051D">
        <w:t>yen isteklilerin 09.11.2020 Pazartesi</w:t>
      </w:r>
      <w:bookmarkStart w:id="0" w:name="_GoBack"/>
      <w:bookmarkEnd w:id="0"/>
      <w:r>
        <w:t xml:space="preserve"> günü tarihi saat </w:t>
      </w:r>
      <w:proofErr w:type="gramStart"/>
      <w:r>
        <w:t>15:00</w:t>
      </w:r>
      <w:proofErr w:type="gramEnd"/>
      <w:r>
        <w:t xml:space="preserve"> a kadar İl Özel İdaresi Yatırım ve İnşaat Müdürlüğü’ne kapalı zarf ile birlikte </w:t>
      </w:r>
      <w:r w:rsidRPr="00EA27F3">
        <w:rPr>
          <w:b/>
        </w:rPr>
        <w:t>şahsen</w:t>
      </w:r>
      <w:r>
        <w:t xml:space="preserve"> teslim edilmesi gerekmektedir.</w:t>
      </w:r>
    </w:p>
    <w:p w:rsidR="008701AE" w:rsidRDefault="008701AE" w:rsidP="008701AE">
      <w:r>
        <w:t xml:space="preserve">***Teslim edilen zarflar aynı gün içerisinde saat </w:t>
      </w:r>
      <w:proofErr w:type="gramStart"/>
      <w:r>
        <w:t>15:30’da</w:t>
      </w:r>
      <w:proofErr w:type="gramEnd"/>
      <w:r>
        <w:t xml:space="preserve"> katılmak isteyen istekliler huzurunda açılacaktır. </w:t>
      </w:r>
    </w:p>
    <w:p w:rsidR="008701AE" w:rsidRDefault="008701AE" w:rsidP="008701AE">
      <w:pPr>
        <w:spacing w:before="100" w:beforeAutospacing="1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TEKNİK ŞARTNAME (İş Kalemleri)</w:t>
      </w:r>
    </w:p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80"/>
        <w:gridCol w:w="5812"/>
        <w:gridCol w:w="567"/>
        <w:gridCol w:w="118"/>
        <w:gridCol w:w="874"/>
        <w:gridCol w:w="869"/>
      </w:tblGrid>
      <w:tr w:rsidR="008701AE" w:rsidRPr="00955CFA" w:rsidTr="00C53F66">
        <w:trPr>
          <w:trHeight w:val="284"/>
          <w:jc w:val="center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</w:tcBorders>
            <w:noWrap/>
            <w:vAlign w:val="center"/>
          </w:tcPr>
          <w:p w:rsidR="008701AE" w:rsidRPr="00955CFA" w:rsidRDefault="008701AE" w:rsidP="00C53F66">
            <w:pPr>
              <w:spacing w:before="100" w:beforeAutospacing="1"/>
              <w:contextualSpacing/>
              <w:rPr>
                <w:rFonts w:ascii="Arial TUR" w:hAnsi="Arial TUR" w:cs="Arial TUR"/>
                <w:color w:val="FF0000"/>
              </w:rPr>
            </w:pPr>
            <w:proofErr w:type="spellStart"/>
            <w:r w:rsidRPr="00955CFA">
              <w:rPr>
                <w:b/>
                <w:bCs/>
                <w:lang w:val="en-US"/>
              </w:rPr>
              <w:t>İşin</w:t>
            </w:r>
            <w:proofErr w:type="spellEnd"/>
            <w:r w:rsidRPr="00955CF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55CFA">
              <w:rPr>
                <w:b/>
                <w:bCs/>
                <w:lang w:val="en-US"/>
              </w:rPr>
              <w:t>Adı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>
              <w:rPr>
                <w:bCs/>
              </w:rPr>
              <w:t>KIRIKKALE  İL ÖZEL İDARESİ İL GENEL MECLİS BİNASININ ALTINDA BULUNAN İKİ ADET DÜKKANIN DOĞALGAZ TESİSATI YENİLENMESİ İŞİ</w:t>
            </w:r>
          </w:p>
        </w:tc>
      </w:tr>
      <w:tr w:rsidR="008701AE" w:rsidRPr="00955CFA" w:rsidTr="00C53F66">
        <w:trPr>
          <w:trHeight w:val="284"/>
          <w:jc w:val="center"/>
        </w:trPr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8701AE" w:rsidRPr="00955CFA" w:rsidRDefault="008701AE" w:rsidP="00C53F66">
            <w:pPr>
              <w:spacing w:before="100" w:beforeAutospacing="1"/>
              <w:contextualSpacing/>
            </w:pPr>
            <w:proofErr w:type="spellStart"/>
            <w:r w:rsidRPr="00955CFA">
              <w:rPr>
                <w:b/>
                <w:bCs/>
                <w:lang w:val="en-US"/>
              </w:rPr>
              <w:t>İş</w:t>
            </w:r>
            <w:proofErr w:type="spellEnd"/>
            <w:r w:rsidRPr="00955CF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55CFA">
              <w:rPr>
                <w:b/>
                <w:bCs/>
                <w:lang w:val="en-US"/>
              </w:rPr>
              <w:t>Grubu</w:t>
            </w:r>
            <w:proofErr w:type="spellEnd"/>
            <w:r>
              <w:rPr>
                <w:b/>
                <w:bCs/>
                <w:lang w:val="en-US"/>
              </w:rPr>
              <w:t xml:space="preserve">: </w:t>
            </w:r>
            <w:r w:rsidRPr="00DB59E3">
              <w:t>Ana Grup&gt;DOĞALGAZ TESİSATI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vAlign w:val="center"/>
          </w:tcPr>
          <w:p w:rsidR="008701AE" w:rsidRPr="00CF72E1" w:rsidRDefault="008701AE" w:rsidP="00C53F66">
            <w:pPr>
              <w:pStyle w:val="stbilgi"/>
              <w:spacing w:before="100" w:beforeAutospacing="1"/>
              <w:contextualSpacing/>
              <w:jc w:val="right"/>
            </w:pPr>
            <w:r w:rsidRPr="00CF72E1">
              <w:t xml:space="preserve">Sayfa </w:t>
            </w:r>
            <w:r w:rsidRPr="00CF72E1">
              <w:rPr>
                <w:bCs/>
              </w:rPr>
              <w:fldChar w:fldCharType="begin"/>
            </w:r>
            <w:r w:rsidRPr="00CF72E1">
              <w:rPr>
                <w:bCs/>
              </w:rPr>
              <w:instrText>PAGE  \* Arabic  \* MERGEFORMAT</w:instrText>
            </w:r>
            <w:r w:rsidRPr="00CF72E1">
              <w:rPr>
                <w:bCs/>
              </w:rPr>
              <w:fldChar w:fldCharType="separate"/>
            </w:r>
            <w:r w:rsidR="00ED051D">
              <w:rPr>
                <w:bCs/>
                <w:noProof/>
              </w:rPr>
              <w:t>1</w:t>
            </w:r>
            <w:r w:rsidRPr="00CF72E1">
              <w:rPr>
                <w:bCs/>
              </w:rPr>
              <w:fldChar w:fldCharType="end"/>
            </w:r>
            <w:r w:rsidRPr="00CF72E1">
              <w:t xml:space="preserve"> / </w:t>
            </w:r>
            <w:r w:rsidRPr="00CF72E1">
              <w:rPr>
                <w:bCs/>
              </w:rPr>
              <w:fldChar w:fldCharType="begin"/>
            </w:r>
            <w:r w:rsidRPr="00CF72E1">
              <w:rPr>
                <w:bCs/>
              </w:rPr>
              <w:instrText>NUMPAGES  \* Arabic  \* MERGEFORMAT</w:instrText>
            </w:r>
            <w:r w:rsidRPr="00CF72E1">
              <w:rPr>
                <w:bCs/>
              </w:rPr>
              <w:fldChar w:fldCharType="separate"/>
            </w:r>
            <w:r w:rsidR="00ED051D">
              <w:rPr>
                <w:bCs/>
                <w:noProof/>
              </w:rPr>
              <w:t>2</w:t>
            </w:r>
            <w:r w:rsidRPr="00CF72E1">
              <w:rPr>
                <w:bCs/>
              </w:rPr>
              <w:fldChar w:fldCharType="end"/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8701AE" w:rsidRPr="008701AE" w:rsidRDefault="008701AE" w:rsidP="008701AE">
            <w:r w:rsidRPr="008701AE">
              <w:t>1</w:t>
            </w:r>
          </w:p>
        </w:tc>
        <w:tc>
          <w:tcPr>
            <w:tcW w:w="1180" w:type="dxa"/>
            <w:vAlign w:val="center"/>
          </w:tcPr>
          <w:p w:rsidR="008701AE" w:rsidRPr="008701AE" w:rsidRDefault="008701AE" w:rsidP="008701AE">
            <w:r w:rsidRPr="008701AE">
              <w:t>25.225.3025</w:t>
            </w:r>
          </w:p>
        </w:tc>
        <w:tc>
          <w:tcPr>
            <w:tcW w:w="5812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Panel radyatör, (Tip 22) 600 </w:t>
            </w:r>
          </w:p>
        </w:tc>
        <w:tc>
          <w:tcPr>
            <w:tcW w:w="567" w:type="dxa"/>
            <w:noWrap/>
            <w:vAlign w:val="center"/>
          </w:tcPr>
          <w:p w:rsidR="008701AE" w:rsidRPr="008701AE" w:rsidRDefault="008701AE" w:rsidP="008701AE">
            <w:proofErr w:type="gramStart"/>
            <w:r w:rsidRPr="008701AE">
              <w:t>m</w:t>
            </w:r>
            <w:proofErr w:type="gramEnd"/>
          </w:p>
        </w:tc>
        <w:tc>
          <w:tcPr>
            <w:tcW w:w="992" w:type="dxa"/>
            <w:gridSpan w:val="2"/>
            <w:noWrap/>
            <w:vAlign w:val="center"/>
          </w:tcPr>
          <w:p w:rsidR="008701AE" w:rsidRPr="008701AE" w:rsidRDefault="008701AE" w:rsidP="008701AE">
            <w:r w:rsidRPr="008701AE">
              <w:t xml:space="preserve"> 2,600 </w:t>
            </w:r>
          </w:p>
        </w:tc>
        <w:tc>
          <w:tcPr>
            <w:tcW w:w="869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 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vAlign w:val="center"/>
          </w:tcPr>
          <w:p w:rsidR="008701AE" w:rsidRPr="008701AE" w:rsidRDefault="008701AE" w:rsidP="008701AE"/>
        </w:tc>
        <w:tc>
          <w:tcPr>
            <w:tcW w:w="9420" w:type="dxa"/>
            <w:gridSpan w:val="6"/>
            <w:vAlign w:val="center"/>
          </w:tcPr>
          <w:p w:rsidR="008701AE" w:rsidRPr="008701AE" w:rsidRDefault="008701AE" w:rsidP="008701AE">
            <w:r w:rsidRPr="008701AE">
              <w:t xml:space="preserve">Teknik Tarifi: Yapısal konstrüksiyonu TS EN 442-1standardına uygun, ısıl güçlerini onaylanmış kuruluş tarafından </w:t>
            </w:r>
            <w:proofErr w:type="spellStart"/>
            <w:r w:rsidRPr="008701AE">
              <w:t>laboratuar</w:t>
            </w:r>
            <w:proofErr w:type="spellEnd"/>
            <w:r w:rsidRPr="008701AE">
              <w:t xml:space="preserve"> raporuyla kanıtlayan, su geçen yüzeylerde TS EN 10130 standardına göre Fe P01 kalite ve minimum1,11 mm. kalınlıkta soğuk çekilmiş sacdan imal, TS EN 442/1 standardına göre maksimum çalışma basıncının en az 1,3 katı basınçta (en az 520 </w:t>
            </w:r>
            <w:proofErr w:type="spellStart"/>
            <w:r w:rsidRPr="008701AE">
              <w:t>kPa</w:t>
            </w:r>
            <w:proofErr w:type="spellEnd"/>
            <w:r w:rsidRPr="008701AE">
              <w:t xml:space="preserve">) test edilmiş, TS EN 442/2 standardına göre test edilerek ısıl güçleri tespit edilmiş, çinko veya demir fosfat üzerine astar boyalı ve son kat elektrostatik toz boyalı, ambalajlı olarak, radyatör montaj elemanları, </w:t>
            </w:r>
            <w:proofErr w:type="spellStart"/>
            <w:r w:rsidRPr="008701AE">
              <w:t>pürjör</w:t>
            </w:r>
            <w:proofErr w:type="spellEnd"/>
            <w:r w:rsidRPr="008701AE">
              <w:t xml:space="preserve"> </w:t>
            </w:r>
            <w:proofErr w:type="gramStart"/>
            <w:r w:rsidRPr="008701AE">
              <w:t>dahil</w:t>
            </w:r>
            <w:proofErr w:type="gramEnd"/>
            <w:r w:rsidRPr="008701AE">
              <w:t xml:space="preserve"> işyerinde temini ve montajı.(Tip XY, X panel sayısı, Y konvektör.)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8701AE" w:rsidRPr="008701AE" w:rsidRDefault="008701AE" w:rsidP="008701AE">
            <w:r w:rsidRPr="008701AE">
              <w:t>2</w:t>
            </w:r>
          </w:p>
        </w:tc>
        <w:tc>
          <w:tcPr>
            <w:tcW w:w="1180" w:type="dxa"/>
            <w:vAlign w:val="center"/>
          </w:tcPr>
          <w:p w:rsidR="008701AE" w:rsidRPr="008701AE" w:rsidRDefault="008701AE" w:rsidP="008701AE">
            <w:r w:rsidRPr="008701AE">
              <w:t>25.230.1201</w:t>
            </w:r>
          </w:p>
        </w:tc>
        <w:tc>
          <w:tcPr>
            <w:tcW w:w="5812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15 Ø mm (1/2"), Köşe tipi radyatör musluğu (TS 579) </w:t>
            </w:r>
          </w:p>
        </w:tc>
        <w:tc>
          <w:tcPr>
            <w:tcW w:w="567" w:type="dxa"/>
            <w:noWrap/>
            <w:vAlign w:val="center"/>
          </w:tcPr>
          <w:p w:rsidR="008701AE" w:rsidRPr="008701AE" w:rsidRDefault="008701AE" w:rsidP="008701AE">
            <w:r w:rsidRPr="008701AE">
              <w:t>Adet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701AE" w:rsidRPr="008701AE" w:rsidRDefault="008701AE" w:rsidP="008701AE">
            <w:r w:rsidRPr="008701AE">
              <w:t xml:space="preserve"> 4,000 </w:t>
            </w:r>
          </w:p>
        </w:tc>
        <w:tc>
          <w:tcPr>
            <w:tcW w:w="869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 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vAlign w:val="center"/>
          </w:tcPr>
          <w:p w:rsidR="008701AE" w:rsidRPr="008701AE" w:rsidRDefault="008701AE" w:rsidP="008701AE"/>
        </w:tc>
        <w:tc>
          <w:tcPr>
            <w:tcW w:w="9420" w:type="dxa"/>
            <w:gridSpan w:val="6"/>
            <w:vAlign w:val="center"/>
          </w:tcPr>
          <w:p w:rsidR="008701AE" w:rsidRPr="008701AE" w:rsidRDefault="008701AE" w:rsidP="008701AE">
            <w:r w:rsidRPr="008701AE">
              <w:t>Teknik Tarifi: TS EN 215 veya TS 579'a uygun, idarenin uygun göreceği nitelikte radyatör musluğu ve bağlantı rakorunun (termostatlı olanlar termostatlı kafa ve adaptörü bağlantı rakoru ile birlikte) işyerinde temini ve yerine montajı.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8701AE" w:rsidRPr="008701AE" w:rsidRDefault="008701AE" w:rsidP="008701AE">
            <w:r w:rsidRPr="008701AE">
              <w:t>3</w:t>
            </w:r>
          </w:p>
        </w:tc>
        <w:tc>
          <w:tcPr>
            <w:tcW w:w="1180" w:type="dxa"/>
            <w:vAlign w:val="center"/>
          </w:tcPr>
          <w:p w:rsidR="008701AE" w:rsidRPr="008701AE" w:rsidRDefault="008701AE" w:rsidP="008701AE">
            <w:r w:rsidRPr="008701AE">
              <w:t>25.305.3102/3300</w:t>
            </w:r>
          </w:p>
        </w:tc>
        <w:tc>
          <w:tcPr>
            <w:tcW w:w="5812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3/4" </w:t>
            </w:r>
            <w:proofErr w:type="gramStart"/>
            <w:r w:rsidRPr="008701AE">
              <w:t>25/3,5</w:t>
            </w:r>
            <w:proofErr w:type="gramEnd"/>
            <w:r w:rsidRPr="008701AE">
              <w:t xml:space="preserve"> (Anma Ölçüsü Çap/ Et kalınlığı (Ø mm) PN 20 </w:t>
            </w:r>
            <w:proofErr w:type="spellStart"/>
            <w:r w:rsidRPr="008701AE">
              <w:t>polipropilen</w:t>
            </w:r>
            <w:proofErr w:type="spellEnd"/>
            <w:r w:rsidRPr="008701AE">
              <w:t xml:space="preserve"> borular ALÜMİNYUM FOLYOLU (OKSİJEN BARİYERLİ) KOMPOZİT PP-RC (Bina içinde </w:t>
            </w:r>
            <w:proofErr w:type="spellStart"/>
            <w:r w:rsidRPr="008701AE">
              <w:t>fizyoterm</w:t>
            </w:r>
            <w:proofErr w:type="spellEnd"/>
            <w:r w:rsidRPr="008701AE">
              <w:t xml:space="preserve"> kaynak ve vidalı, %45 eklenmiş) </w:t>
            </w:r>
          </w:p>
        </w:tc>
        <w:tc>
          <w:tcPr>
            <w:tcW w:w="567" w:type="dxa"/>
            <w:noWrap/>
            <w:vAlign w:val="center"/>
          </w:tcPr>
          <w:p w:rsidR="008701AE" w:rsidRPr="008701AE" w:rsidRDefault="008701AE" w:rsidP="008701AE">
            <w:proofErr w:type="gramStart"/>
            <w:r w:rsidRPr="008701AE">
              <w:t>m</w:t>
            </w:r>
            <w:proofErr w:type="gramEnd"/>
          </w:p>
        </w:tc>
        <w:tc>
          <w:tcPr>
            <w:tcW w:w="992" w:type="dxa"/>
            <w:gridSpan w:val="2"/>
            <w:noWrap/>
            <w:vAlign w:val="center"/>
          </w:tcPr>
          <w:p w:rsidR="008701AE" w:rsidRPr="008701AE" w:rsidRDefault="008701AE" w:rsidP="008701AE">
            <w:r w:rsidRPr="008701AE">
              <w:t xml:space="preserve"> 8,000 </w:t>
            </w:r>
          </w:p>
        </w:tc>
        <w:tc>
          <w:tcPr>
            <w:tcW w:w="869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 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vAlign w:val="center"/>
          </w:tcPr>
          <w:p w:rsidR="008701AE" w:rsidRPr="008701AE" w:rsidRDefault="008701AE" w:rsidP="008701AE"/>
        </w:tc>
        <w:tc>
          <w:tcPr>
            <w:tcW w:w="9420" w:type="dxa"/>
            <w:gridSpan w:val="6"/>
            <w:vAlign w:val="center"/>
          </w:tcPr>
          <w:p w:rsidR="008701AE" w:rsidRPr="008701AE" w:rsidRDefault="008701AE" w:rsidP="008701AE">
            <w:r w:rsidRPr="008701AE">
              <w:t xml:space="preserve">Teknik Tarifi: TS EN ISO 15874-2'ye uygun, </w:t>
            </w:r>
            <w:proofErr w:type="spellStart"/>
            <w:r w:rsidRPr="008701AE">
              <w:t>polipropilen</w:t>
            </w:r>
            <w:proofErr w:type="spellEnd"/>
            <w:r w:rsidRPr="008701AE">
              <w:t xml:space="preserve"> (PPR-C), Tip-3'ten </w:t>
            </w:r>
            <w:proofErr w:type="spellStart"/>
            <w:r w:rsidRPr="008701AE">
              <w:t>mamül</w:t>
            </w:r>
            <w:proofErr w:type="spellEnd"/>
            <w:r w:rsidRPr="008701AE">
              <w:t xml:space="preserve"> ve Sağlık Bakanlığından içme suyu borusu olarak kullanılmasında sakınca bulunmadığı belgelendirilmiş, boruların iş yerinde temini, projesine uygun olarak kesilmesi, </w:t>
            </w:r>
            <w:proofErr w:type="spellStart"/>
            <w:r w:rsidRPr="008701AE">
              <w:t>fizyoterm</w:t>
            </w:r>
            <w:proofErr w:type="spellEnd"/>
            <w:r w:rsidRPr="008701AE">
              <w:t xml:space="preserve"> kaynak makinası ile bağlantı parçalarının boru uçlarına 260 °C sıcaklıkta sıkılarak kaynak edilmesi. (Kaynak için her türlü malzeme ve işçilik dâhil) Montaj malzemelerinin bedelleri dâhildir.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8701AE" w:rsidRPr="008701AE" w:rsidRDefault="008701AE" w:rsidP="008701AE">
            <w:r w:rsidRPr="008701AE">
              <w:t>4</w:t>
            </w:r>
          </w:p>
        </w:tc>
        <w:tc>
          <w:tcPr>
            <w:tcW w:w="1180" w:type="dxa"/>
            <w:vAlign w:val="center"/>
          </w:tcPr>
          <w:p w:rsidR="008701AE" w:rsidRPr="008701AE" w:rsidRDefault="008701AE" w:rsidP="008701AE">
            <w:r w:rsidRPr="008701AE">
              <w:t>PİYASA-1</w:t>
            </w:r>
          </w:p>
        </w:tc>
        <w:tc>
          <w:tcPr>
            <w:tcW w:w="5812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DÜKKANIN DOĞALGAZ BORUSU KAYNAKLI OLARAK YENİDEN </w:t>
            </w:r>
            <w:proofErr w:type="gramStart"/>
            <w:r w:rsidRPr="008701AE">
              <w:t>YENİLENECEK,DOĞALGAZ</w:t>
            </w:r>
            <w:proofErr w:type="gramEnd"/>
            <w:r w:rsidRPr="008701AE">
              <w:t xml:space="preserve"> SELENOİD VANALARI GAZ ALARM CİHAZI İLE İRTİBATLANACAK,BORULARIN BOYASI YAĞLI BOYA İLE BOYANIP GAZI AÇILACAKTIR </w:t>
            </w:r>
          </w:p>
        </w:tc>
        <w:tc>
          <w:tcPr>
            <w:tcW w:w="567" w:type="dxa"/>
            <w:noWrap/>
            <w:vAlign w:val="center"/>
          </w:tcPr>
          <w:p w:rsidR="008701AE" w:rsidRPr="008701AE" w:rsidRDefault="008701AE" w:rsidP="008701AE">
            <w:r w:rsidRPr="008701AE">
              <w:t>AD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701AE" w:rsidRPr="008701AE" w:rsidRDefault="008701AE" w:rsidP="008701AE">
            <w:r w:rsidRPr="008701AE">
              <w:t xml:space="preserve"> 2,000 </w:t>
            </w:r>
          </w:p>
        </w:tc>
        <w:tc>
          <w:tcPr>
            <w:tcW w:w="869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 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8701AE" w:rsidRPr="008701AE" w:rsidRDefault="008701AE" w:rsidP="008701AE">
            <w:r w:rsidRPr="008701AE">
              <w:t>5</w:t>
            </w:r>
          </w:p>
        </w:tc>
        <w:tc>
          <w:tcPr>
            <w:tcW w:w="1180" w:type="dxa"/>
            <w:vAlign w:val="center"/>
          </w:tcPr>
          <w:p w:rsidR="008701AE" w:rsidRPr="008701AE" w:rsidRDefault="008701AE" w:rsidP="008701AE">
            <w:r w:rsidRPr="008701AE">
              <w:t>PİYASA-2</w:t>
            </w:r>
          </w:p>
        </w:tc>
        <w:tc>
          <w:tcPr>
            <w:tcW w:w="5812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MEVCUT BAYMAK MARKA KOMBİLER SERVİSLE GÖRÜŞÜLÜP ÇALIŞIR RAPORU ALINACAK VE KOMBİ İŞLETMEYE ALINACAKTIR. </w:t>
            </w:r>
          </w:p>
        </w:tc>
        <w:tc>
          <w:tcPr>
            <w:tcW w:w="567" w:type="dxa"/>
            <w:noWrap/>
            <w:vAlign w:val="center"/>
          </w:tcPr>
          <w:p w:rsidR="008701AE" w:rsidRPr="008701AE" w:rsidRDefault="008701AE" w:rsidP="008701AE">
            <w:r w:rsidRPr="008701AE">
              <w:t>AD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701AE" w:rsidRPr="008701AE" w:rsidRDefault="008701AE" w:rsidP="008701AE">
            <w:r w:rsidRPr="008701AE">
              <w:t xml:space="preserve"> 2,000 </w:t>
            </w:r>
          </w:p>
        </w:tc>
        <w:tc>
          <w:tcPr>
            <w:tcW w:w="869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 </w:t>
            </w:r>
          </w:p>
        </w:tc>
      </w:tr>
      <w:tr w:rsidR="008701AE" w:rsidRPr="008701AE" w:rsidTr="00C53F6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84"/>
          <w:jc w:val="center"/>
        </w:trPr>
        <w:tc>
          <w:tcPr>
            <w:tcW w:w="540" w:type="dxa"/>
            <w:noWrap/>
            <w:vAlign w:val="center"/>
          </w:tcPr>
          <w:p w:rsidR="008701AE" w:rsidRPr="008701AE" w:rsidRDefault="008701AE" w:rsidP="008701AE">
            <w:r w:rsidRPr="008701AE">
              <w:t>6</w:t>
            </w:r>
          </w:p>
        </w:tc>
        <w:tc>
          <w:tcPr>
            <w:tcW w:w="1180" w:type="dxa"/>
            <w:vAlign w:val="center"/>
          </w:tcPr>
          <w:p w:rsidR="008701AE" w:rsidRPr="008701AE" w:rsidRDefault="008701AE" w:rsidP="008701AE">
            <w:r w:rsidRPr="008701AE">
              <w:t>PİYASA-3</w:t>
            </w:r>
          </w:p>
        </w:tc>
        <w:tc>
          <w:tcPr>
            <w:tcW w:w="5812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DOĞALGAZ İÇ GAZ VE KOLON TESİSAT PROJELERİ YAPILACAK VE KIRGAZA ONAYLATILACAK </w:t>
            </w:r>
          </w:p>
        </w:tc>
        <w:tc>
          <w:tcPr>
            <w:tcW w:w="567" w:type="dxa"/>
            <w:noWrap/>
            <w:vAlign w:val="center"/>
          </w:tcPr>
          <w:p w:rsidR="008701AE" w:rsidRPr="008701AE" w:rsidRDefault="008701AE" w:rsidP="008701AE">
            <w:r w:rsidRPr="008701AE">
              <w:t>AD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701AE" w:rsidRPr="008701AE" w:rsidRDefault="008701AE" w:rsidP="008701AE">
            <w:r w:rsidRPr="008701AE">
              <w:t xml:space="preserve"> 2,000 </w:t>
            </w:r>
          </w:p>
        </w:tc>
        <w:tc>
          <w:tcPr>
            <w:tcW w:w="869" w:type="dxa"/>
            <w:noWrap/>
            <w:vAlign w:val="center"/>
          </w:tcPr>
          <w:p w:rsidR="008701AE" w:rsidRPr="008701AE" w:rsidRDefault="008701AE" w:rsidP="008701AE">
            <w:r w:rsidRPr="008701AE">
              <w:t xml:space="preserve">  </w:t>
            </w:r>
          </w:p>
        </w:tc>
      </w:tr>
    </w:tbl>
    <w:p w:rsidR="00141E2D" w:rsidRDefault="00141E2D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8701AE" w:rsidRDefault="008701AE"/>
    <w:p w:rsidR="00E5621B" w:rsidRDefault="00E5621B" w:rsidP="008701AE">
      <w:pPr>
        <w:jc w:val="center"/>
      </w:pPr>
    </w:p>
    <w:p w:rsidR="00E5621B" w:rsidRDefault="00E5621B" w:rsidP="008701AE">
      <w:pPr>
        <w:jc w:val="center"/>
      </w:pPr>
    </w:p>
    <w:p w:rsidR="00E5621B" w:rsidRDefault="00E5621B" w:rsidP="008701AE">
      <w:pPr>
        <w:jc w:val="center"/>
      </w:pPr>
    </w:p>
    <w:p w:rsidR="00E5621B" w:rsidRDefault="00E5621B" w:rsidP="008701AE">
      <w:pPr>
        <w:jc w:val="center"/>
      </w:pPr>
    </w:p>
    <w:p w:rsidR="008701AE" w:rsidRPr="008701AE" w:rsidRDefault="008701AE" w:rsidP="008701AE">
      <w:pPr>
        <w:jc w:val="center"/>
      </w:pPr>
      <w:r w:rsidRPr="008701AE">
        <w:t>DOĞRUDAN TEMİN TUTANAĞI (TEKLİF MEKTUBU)</w:t>
      </w:r>
    </w:p>
    <w:p w:rsidR="008701AE" w:rsidRPr="008701AE" w:rsidRDefault="008701AE" w:rsidP="008701AE">
      <w:r w:rsidRPr="008701AE">
        <w:tab/>
      </w:r>
    </w:p>
    <w:p w:rsidR="008701AE" w:rsidRPr="008701AE" w:rsidRDefault="008701AE" w:rsidP="008701AE"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</w:p>
    <w:p w:rsidR="008701AE" w:rsidRPr="008701AE" w:rsidRDefault="008701AE" w:rsidP="008701AE">
      <w:r w:rsidRPr="008701AE">
        <w:t xml:space="preserve">Aşağıda cinsi ve miktarı belirtilen mal ve hizmetler, 4734 sayılı Kamu </w:t>
      </w:r>
      <w:proofErr w:type="spellStart"/>
      <w:r w:rsidRPr="008701AE">
        <w:t>İğhale</w:t>
      </w:r>
      <w:proofErr w:type="spellEnd"/>
      <w:r w:rsidRPr="008701AE">
        <w:t xml:space="preserve"> Kanunun 22.maddesi (d) bendi gereğince yaptırılacak veya satın alınacaktır.</w:t>
      </w:r>
    </w:p>
    <w:p w:rsidR="008701AE" w:rsidRPr="008701AE" w:rsidRDefault="008701AE" w:rsidP="008701AE">
      <w:r w:rsidRPr="008701AE">
        <w:t xml:space="preserve">Aşağıda açık adresi yazılı firmaya gidilerek yapılan araştırmada ihtiyacımız olan mal veya hizmetlerin aşağıda belirtilmiş olan fiyatlardan satın </w:t>
      </w:r>
      <w:proofErr w:type="spellStart"/>
      <w:r w:rsidRPr="008701AE">
        <w:t>alınabileği</w:t>
      </w:r>
      <w:proofErr w:type="spellEnd"/>
      <w:r w:rsidRPr="008701AE">
        <w:t xml:space="preserve"> tespit edilmiştir. .../.../2020</w:t>
      </w:r>
      <w:r w:rsidRPr="008701AE">
        <w:tab/>
      </w:r>
      <w:r w:rsidRPr="008701AE">
        <w:tab/>
      </w:r>
    </w:p>
    <w:tbl>
      <w:tblPr>
        <w:tblW w:w="1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4300"/>
        <w:gridCol w:w="3580"/>
      </w:tblGrid>
      <w:tr w:rsidR="008701AE" w:rsidRPr="008701AE" w:rsidTr="00C53F66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AE" w:rsidRPr="008701AE" w:rsidRDefault="008701AE" w:rsidP="008701AE">
            <w:r w:rsidRPr="008701AE">
              <w:t>ÜYE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1AE" w:rsidRPr="008701AE" w:rsidRDefault="008701AE" w:rsidP="008701AE">
            <w:r w:rsidRPr="008701AE">
              <w:t>ÜYE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1AE" w:rsidRPr="008701AE" w:rsidRDefault="008701AE" w:rsidP="008701AE">
            <w:r w:rsidRPr="008701AE">
              <w:t>ÜYE</w:t>
            </w:r>
          </w:p>
        </w:tc>
      </w:tr>
    </w:tbl>
    <w:p w:rsidR="008701AE" w:rsidRPr="008701AE" w:rsidRDefault="008701AE" w:rsidP="008701AE"/>
    <w:p w:rsidR="008701AE" w:rsidRPr="008701AE" w:rsidRDefault="008701AE" w:rsidP="008701AE"/>
    <w:p w:rsidR="008701AE" w:rsidRPr="008701AE" w:rsidRDefault="008701AE" w:rsidP="008701AE"/>
    <w:p w:rsidR="008701AE" w:rsidRPr="008701AE" w:rsidRDefault="008701AE" w:rsidP="008701AE"/>
    <w:p w:rsidR="008701AE" w:rsidRPr="008701AE" w:rsidRDefault="008701AE" w:rsidP="008701AE"/>
    <w:p w:rsidR="008701AE" w:rsidRPr="008701AE" w:rsidRDefault="008701AE" w:rsidP="008701AE"/>
    <w:p w:rsidR="008701AE" w:rsidRPr="008701AE" w:rsidRDefault="008701AE" w:rsidP="008701AE"/>
    <w:tbl>
      <w:tblPr>
        <w:tblStyle w:val="TabloKlavuzu"/>
        <w:tblW w:w="9423" w:type="dxa"/>
        <w:tblLook w:val="04A0" w:firstRow="1" w:lastRow="0" w:firstColumn="1" w:lastColumn="0" w:noHBand="0" w:noVBand="1"/>
      </w:tblPr>
      <w:tblGrid>
        <w:gridCol w:w="1036"/>
        <w:gridCol w:w="1241"/>
        <w:gridCol w:w="974"/>
        <w:gridCol w:w="974"/>
        <w:gridCol w:w="1081"/>
        <w:gridCol w:w="1404"/>
        <w:gridCol w:w="1126"/>
        <w:gridCol w:w="1587"/>
      </w:tblGrid>
      <w:tr w:rsidR="008701AE" w:rsidRPr="008701AE" w:rsidTr="00C53F66">
        <w:trPr>
          <w:trHeight w:val="465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proofErr w:type="spellStart"/>
            <w:r w:rsidRPr="008701AE">
              <w:t>S.No</w:t>
            </w:r>
            <w:proofErr w:type="spellEnd"/>
          </w:p>
        </w:tc>
        <w:tc>
          <w:tcPr>
            <w:tcW w:w="3189" w:type="dxa"/>
            <w:gridSpan w:val="3"/>
            <w:noWrap/>
            <w:hideMark/>
          </w:tcPr>
          <w:p w:rsidR="008701AE" w:rsidRPr="008701AE" w:rsidRDefault="008701AE" w:rsidP="008701AE">
            <w:r w:rsidRPr="008701AE">
              <w:t>BİRİM FİYATA ESAS İŞ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BİRİMİ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MİKTARI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BİRİM FİYATI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TOPLAM TUTAR</w:t>
            </w:r>
          </w:p>
        </w:tc>
      </w:tr>
      <w:tr w:rsidR="008701AE" w:rsidRPr="008701AE" w:rsidTr="00C53F66">
        <w:trPr>
          <w:trHeight w:val="1875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1</w:t>
            </w:r>
          </w:p>
        </w:tc>
        <w:tc>
          <w:tcPr>
            <w:tcW w:w="3189" w:type="dxa"/>
            <w:gridSpan w:val="3"/>
            <w:hideMark/>
          </w:tcPr>
          <w:p w:rsidR="008701AE" w:rsidRPr="008701AE" w:rsidRDefault="008701AE" w:rsidP="008701AE">
            <w:r w:rsidRPr="008701AE">
              <w:rPr>
                <w:bCs/>
              </w:rPr>
              <w:t xml:space="preserve">KIRIKKALE İL ÖZEL İDARESİNE AİT MECLİS BİNASI ALTINDA BULUNAN 2 ADET </w:t>
            </w:r>
            <w:proofErr w:type="gramStart"/>
            <w:r w:rsidRPr="008701AE">
              <w:rPr>
                <w:bCs/>
              </w:rPr>
              <w:t>DÜKKANIN</w:t>
            </w:r>
            <w:proofErr w:type="gramEnd"/>
            <w:r w:rsidRPr="008701AE">
              <w:rPr>
                <w:bCs/>
              </w:rPr>
              <w:t xml:space="preserve"> DOĞALGAZ TESİSATININ YENİLEMESİ İŞİ</w:t>
            </w:r>
            <w:r w:rsidRPr="008701AE">
              <w:t>. (Ekli Teknik Şartnamede Belirtilen Özelliklerde)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ADET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1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 xml:space="preserve"> 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08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40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12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1036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1241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974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  <w:tc>
          <w:tcPr>
            <w:tcW w:w="4585" w:type="dxa"/>
            <w:gridSpan w:val="4"/>
            <w:noWrap/>
            <w:hideMark/>
          </w:tcPr>
          <w:p w:rsidR="008701AE" w:rsidRPr="008701AE" w:rsidRDefault="008701AE" w:rsidP="008701AE">
            <w:r w:rsidRPr="008701AE">
              <w:t xml:space="preserve">                 TOPLAM TUTAR    (KDV Hariç)</w:t>
            </w:r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  <w:tr w:rsidR="008701AE" w:rsidRPr="008701AE" w:rsidTr="00C53F66">
        <w:trPr>
          <w:trHeight w:val="360"/>
        </w:trPr>
        <w:tc>
          <w:tcPr>
            <w:tcW w:w="7836" w:type="dxa"/>
            <w:gridSpan w:val="7"/>
            <w:noWrap/>
            <w:hideMark/>
          </w:tcPr>
          <w:p w:rsidR="008701AE" w:rsidRPr="008701AE" w:rsidRDefault="008701AE" w:rsidP="008701AE">
            <w:proofErr w:type="gramStart"/>
            <w:r w:rsidRPr="008701AE">
              <w:t>YAZIYLA :</w:t>
            </w:r>
            <w:proofErr w:type="gramEnd"/>
          </w:p>
        </w:tc>
        <w:tc>
          <w:tcPr>
            <w:tcW w:w="1587" w:type="dxa"/>
            <w:noWrap/>
            <w:hideMark/>
          </w:tcPr>
          <w:p w:rsidR="008701AE" w:rsidRPr="008701AE" w:rsidRDefault="008701AE" w:rsidP="008701AE">
            <w:r w:rsidRPr="008701AE">
              <w:t> </w:t>
            </w:r>
          </w:p>
        </w:tc>
      </w:tr>
    </w:tbl>
    <w:p w:rsidR="008701AE" w:rsidRPr="008701AE" w:rsidRDefault="008701AE" w:rsidP="008701AE"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</w:r>
      <w:r w:rsidRPr="008701AE">
        <w:tab/>
        <w:t xml:space="preserve">  </w:t>
      </w:r>
    </w:p>
    <w:p w:rsidR="008701AE" w:rsidRPr="008701AE" w:rsidRDefault="008701AE" w:rsidP="008701AE">
      <w:r w:rsidRPr="008701AE">
        <w:t>Teklif verenin Adı Soyadı</w:t>
      </w:r>
    </w:p>
    <w:p w:rsidR="008701AE" w:rsidRDefault="008701AE"/>
    <w:sectPr w:rsidR="0087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AE"/>
    <w:rsid w:val="00141E2D"/>
    <w:rsid w:val="008701AE"/>
    <w:rsid w:val="00E5621B"/>
    <w:rsid w:val="00E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AE"/>
    <w:pPr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701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01AE"/>
    <w:rPr>
      <w:rFonts w:ascii="Arial" w:eastAsia="Times New Roman" w:hAnsi="Arial" w:cs="Arial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7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AE"/>
    <w:pPr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701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701AE"/>
    <w:rPr>
      <w:rFonts w:ascii="Arial" w:eastAsia="Times New Roman" w:hAnsi="Arial" w:cs="Arial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70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belediyeler</dc:creator>
  <cp:lastModifiedBy>belediyeler</cp:lastModifiedBy>
  <cp:revision>2</cp:revision>
  <cp:lastPrinted>2020-11-06T08:03:00Z</cp:lastPrinted>
  <dcterms:created xsi:type="dcterms:W3CDTF">2020-11-06T08:58:00Z</dcterms:created>
  <dcterms:modified xsi:type="dcterms:W3CDTF">2020-11-06T08:58:00Z</dcterms:modified>
</cp:coreProperties>
</file>